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F54" w14:textId="612529EC" w:rsidR="0011478F" w:rsidRPr="00EA4198" w:rsidRDefault="0011478F" w:rsidP="00EA4198">
      <w:pPr>
        <w:pStyle w:val="NoSpacing"/>
        <w:spacing w:line="276" w:lineRule="auto"/>
        <w:ind w:firstLine="270"/>
        <w:jc w:val="right"/>
        <w:rPr>
          <w:rFonts w:ascii="GHEA Grapalat" w:hAnsi="GHEA Grapalat" w:cs="Times New Roman"/>
          <w:sz w:val="24"/>
          <w:szCs w:val="24"/>
          <w:u w:val="single"/>
        </w:rPr>
      </w:pPr>
      <w:bookmarkStart w:id="0" w:name="_Toc93926503"/>
      <w:bookmarkStart w:id="1" w:name="_Toc120537468"/>
      <w:bookmarkStart w:id="2" w:name="_Toc120540181"/>
      <w:bookmarkStart w:id="3" w:name="_Toc120802458"/>
      <w:bookmarkStart w:id="4" w:name="_Toc120868901"/>
      <w:r w:rsidRPr="00EA4198">
        <w:rPr>
          <w:rFonts w:ascii="GHEA Grapalat" w:hAnsi="GHEA Grapalat"/>
          <w:sz w:val="24"/>
          <w:szCs w:val="24"/>
          <w:u w:val="single"/>
          <w:lang w:val="hy-AM"/>
        </w:rPr>
        <w:t>Հավելված</w:t>
      </w:r>
      <w:r w:rsidRPr="00EA4198">
        <w:rPr>
          <w:rFonts w:ascii="GHEA Grapalat" w:hAnsi="GHEA Grapalat" w:cs="Times Armenian"/>
          <w:sz w:val="24"/>
          <w:szCs w:val="24"/>
          <w:u w:val="single"/>
          <w:lang w:val="hy-AM"/>
        </w:rPr>
        <w:t xml:space="preserve"> N</w:t>
      </w:r>
      <w:r w:rsidRPr="00EA4198">
        <w:rPr>
          <w:rFonts w:ascii="GHEA Grapalat" w:hAnsi="GHEA Grapalat" w:cs="Times New Roman"/>
          <w:sz w:val="24"/>
          <w:szCs w:val="24"/>
          <w:u w:val="single"/>
          <w:lang w:val="hy-AM"/>
        </w:rPr>
        <w:t xml:space="preserve"> 1</w:t>
      </w:r>
      <w:bookmarkEnd w:id="0"/>
      <w:bookmarkEnd w:id="1"/>
      <w:bookmarkEnd w:id="2"/>
      <w:bookmarkEnd w:id="3"/>
      <w:bookmarkEnd w:id="4"/>
      <w:r w:rsidR="00CA33B4" w:rsidRPr="00EA4198">
        <w:rPr>
          <w:rFonts w:ascii="GHEA Grapalat" w:hAnsi="GHEA Grapalat" w:cs="Times New Roman"/>
          <w:sz w:val="24"/>
          <w:szCs w:val="24"/>
          <w:u w:val="single"/>
        </w:rPr>
        <w:t>2</w:t>
      </w:r>
    </w:p>
    <w:p w14:paraId="6207BF55" w14:textId="77777777" w:rsidR="0011478F" w:rsidRPr="00EA4198" w:rsidRDefault="0011478F" w:rsidP="00EA4198">
      <w:pPr>
        <w:spacing w:after="0"/>
        <w:ind w:firstLine="270"/>
        <w:rPr>
          <w:rFonts w:ascii="GHEA Grapalat" w:eastAsiaTheme="minorEastAsia" w:hAnsi="GHEA Grapalat" w:cs="Times New Roman"/>
          <w:sz w:val="24"/>
          <w:szCs w:val="24"/>
          <w:u w:val="single"/>
        </w:rPr>
      </w:pPr>
    </w:p>
    <w:p w14:paraId="6207BF56" w14:textId="77777777" w:rsidR="0011478F" w:rsidRPr="00EA4198" w:rsidRDefault="0011478F" w:rsidP="00EA4198">
      <w:pPr>
        <w:spacing w:after="0"/>
        <w:ind w:firstLine="270"/>
        <w:jc w:val="center"/>
        <w:rPr>
          <w:rFonts w:ascii="GHEA Grapalat" w:eastAsiaTheme="minorEastAsia" w:hAnsi="GHEA Grapalat" w:cs="Times New Roman"/>
          <w:sz w:val="24"/>
          <w:szCs w:val="24"/>
          <w:u w:val="singl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u w:val="single"/>
        </w:rPr>
        <w:t>ՄԺԾԾ ԺԱՄԱՆԱԿ</w:t>
      </w:r>
      <w:r w:rsidR="00567880" w:rsidRPr="00EA4198">
        <w:rPr>
          <w:rFonts w:ascii="GHEA Grapalat" w:eastAsiaTheme="minorEastAsia" w:hAnsi="GHEA Grapalat" w:cs="Times New Roman"/>
          <w:sz w:val="24"/>
          <w:szCs w:val="24"/>
          <w:u w:val="single"/>
          <w:lang w:val="hy-AM"/>
        </w:rPr>
        <w:t>Ա</w:t>
      </w:r>
      <w:r w:rsidRPr="00EA4198">
        <w:rPr>
          <w:rFonts w:ascii="GHEA Grapalat" w:eastAsiaTheme="minorEastAsia" w:hAnsi="GHEA Grapalat" w:cs="Times New Roman"/>
          <w:sz w:val="24"/>
          <w:szCs w:val="24"/>
          <w:u w:val="single"/>
        </w:rPr>
        <w:t>ՀԱՏՎԱԾՈՒՄ ՀՀ ԿԱՌԱՎԱՐՈՒԹՅԱՆ ՈԼՈՐՏԱՅԻՆ ՔԱՂԱՔԱԿԱՆՈՒԹՅՈՒՆԸ</w:t>
      </w:r>
    </w:p>
    <w:p w14:paraId="6207BF57" w14:textId="73AF6FD7" w:rsidR="0011478F" w:rsidRPr="00EA4198" w:rsidRDefault="0011478F" w:rsidP="00EA4198">
      <w:pPr>
        <w:spacing w:after="0"/>
        <w:ind w:firstLine="270"/>
        <w:jc w:val="center"/>
        <w:rPr>
          <w:rFonts w:ascii="GHEA Grapalat" w:eastAsiaTheme="minorEastAsia" w:hAnsi="GHEA Grapalat" w:cs="Times New Roman"/>
          <w:sz w:val="24"/>
          <w:szCs w:val="24"/>
        </w:rPr>
      </w:pPr>
      <w:r w:rsidRPr="00EA4198">
        <w:rPr>
          <w:rFonts w:ascii="GHEA Grapalat" w:eastAsiaTheme="minorEastAsia" w:hAnsi="GHEA Grapalat" w:cs="Times New Roman"/>
          <w:sz w:val="24"/>
          <w:szCs w:val="24"/>
        </w:rPr>
        <w:t>(</w:t>
      </w:r>
      <w:proofErr w:type="spellStart"/>
      <w:r w:rsidRPr="00EA4198">
        <w:rPr>
          <w:rFonts w:ascii="GHEA Grapalat" w:eastAsiaTheme="minorEastAsia" w:hAnsi="GHEA Grapalat" w:cs="Times New Roman"/>
          <w:sz w:val="24"/>
          <w:szCs w:val="24"/>
        </w:rPr>
        <w:t>հարկիրճ</w:t>
      </w:r>
      <w:proofErr w:type="spellEnd"/>
      <w:r w:rsidRPr="00EA4198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proofErr w:type="spellStart"/>
      <w:r w:rsidRPr="00EA4198">
        <w:rPr>
          <w:rFonts w:ascii="GHEA Grapalat" w:eastAsiaTheme="minorEastAsia" w:hAnsi="GHEA Grapalat" w:cs="Times New Roman"/>
          <w:sz w:val="24"/>
          <w:szCs w:val="24"/>
        </w:rPr>
        <w:t>շարադրանք</w:t>
      </w:r>
      <w:proofErr w:type="spellEnd"/>
      <w:r w:rsidRPr="00EA4198">
        <w:rPr>
          <w:rFonts w:ascii="GHEA Grapalat" w:eastAsiaTheme="minorEastAsia" w:hAnsi="GHEA Grapalat" w:cs="Times New Roman"/>
          <w:sz w:val="24"/>
          <w:szCs w:val="24"/>
        </w:rPr>
        <w:t>)</w:t>
      </w:r>
      <w:r w:rsidRPr="00EA4198">
        <w:rPr>
          <w:rFonts w:ascii="GHEA Grapalat" w:eastAsiaTheme="minorEastAsia" w:hAnsi="GHEA Grapalat" w:cs="Times New Roman"/>
          <w:sz w:val="24"/>
          <w:szCs w:val="24"/>
          <w:vertAlign w:val="superscript"/>
        </w:rPr>
        <w:footnoteReference w:id="1"/>
      </w:r>
    </w:p>
    <w:p w14:paraId="2C627B33" w14:textId="77777777" w:rsidR="00AF5DB9" w:rsidRPr="00EA4198" w:rsidRDefault="00AF5DB9" w:rsidP="00EA4198">
      <w:pPr>
        <w:spacing w:after="0"/>
        <w:ind w:firstLine="270"/>
        <w:jc w:val="center"/>
        <w:rPr>
          <w:rFonts w:ascii="GHEA Grapalat" w:eastAsiaTheme="minorEastAsia" w:hAnsi="GHEA Grapalat" w:cs="Times New Roman"/>
          <w:sz w:val="24"/>
          <w:szCs w:val="24"/>
        </w:rPr>
      </w:pPr>
    </w:p>
    <w:p w14:paraId="6207BF58" w14:textId="3F837329" w:rsidR="0011478F" w:rsidRPr="00EA4198" w:rsidRDefault="0011478F" w:rsidP="00EA41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eastAsia="x-none"/>
        </w:rPr>
      </w:pPr>
      <w:proofErr w:type="gramStart"/>
      <w:r w:rsidRPr="00EA4198">
        <w:rPr>
          <w:rFonts w:ascii="GHEA Grapalat" w:eastAsiaTheme="minorEastAsia" w:hAnsi="GHEA Grapalat" w:cs="Times New Roman"/>
          <w:sz w:val="24"/>
          <w:szCs w:val="24"/>
          <w:lang w:eastAsia="x-none"/>
        </w:rPr>
        <w:t xml:space="preserve">ՈԼՈՐՏԸ  </w:t>
      </w:r>
      <w:r w:rsidR="000926EF"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-</w:t>
      </w:r>
      <w:proofErr w:type="gramEnd"/>
      <w:r w:rsidR="000926EF"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 </w:t>
      </w:r>
      <w:r w:rsidR="000926EF" w:rsidRPr="00EA4198">
        <w:rPr>
          <w:rFonts w:ascii="GHEA Grapalat" w:eastAsiaTheme="minorEastAsia" w:hAnsi="GHEA Grapalat" w:cs="Times New Roman"/>
          <w:b/>
          <w:bCs/>
          <w:sz w:val="24"/>
          <w:szCs w:val="24"/>
          <w:lang w:val="hy-AM" w:eastAsia="x-none"/>
        </w:rPr>
        <w:t>ԳՅՈՒՂԱՏՆՏԵՍՈՒԹՅՈՒՆ</w:t>
      </w:r>
    </w:p>
    <w:p w14:paraId="45F2995C" w14:textId="77777777" w:rsidR="000926EF" w:rsidRPr="00EA4198" w:rsidRDefault="000926EF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hy-AM"/>
        </w:rPr>
        <w:t>Գյուղատնտեսությունը երկրի տնտեսության կարևորագույն ոլորտներից մեկն է, քանի որ բնակչությանն ապահովում է պարենով, իսկ վերամշակող արդյունաբերությանը՝ հումքով։ Պարենային անվտանգության տեսանկյունից էլ ավելի է կարևորվում ոլորտում աջակցության տարբեր մեխանիզմներով իրականացվող միջոցառումների անհրաժեշտությունը։</w:t>
      </w:r>
    </w:p>
    <w:p w14:paraId="06F237AA" w14:textId="20508BE4" w:rsidR="000926EF" w:rsidRPr="00EA4198" w:rsidRDefault="000926EF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ՀՀ վիճակագրական </w:t>
      </w:r>
      <w:r w:rsidRPr="00EA4198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տվյալների համաձայն </w:t>
      </w:r>
      <w:r w:rsidRPr="00EA4198">
        <w:rPr>
          <w:rFonts w:ascii="GHEA Grapalat" w:hAnsi="GHEA Grapalat" w:cs="Sylfaen"/>
          <w:sz w:val="24"/>
          <w:szCs w:val="24"/>
          <w:lang w:val="af-ZA"/>
        </w:rPr>
        <w:t>20</w:t>
      </w:r>
      <w:r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="008173D4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4198">
        <w:rPr>
          <w:rFonts w:ascii="GHEA Grapalat" w:hAnsi="GHEA Grapalat" w:cs="Sylfaen"/>
          <w:sz w:val="24"/>
          <w:szCs w:val="24"/>
          <w:lang w:val="hy-AM"/>
        </w:rPr>
        <w:t>թվա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</w:r>
      <w:r w:rsidRPr="00EA4198">
        <w:rPr>
          <w:rFonts w:ascii="GHEA Grapalat" w:hAnsi="GHEA Grapalat" w:cs="Sylfaen"/>
          <w:sz w:val="24"/>
          <w:szCs w:val="24"/>
          <w:lang w:val="hy-AM"/>
        </w:rPr>
        <w:t>կանին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գյուղատնտեսության համախառն արտա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դրանք</w:t>
      </w:r>
      <w:r w:rsidRPr="00EA4198">
        <w:rPr>
          <w:rFonts w:ascii="GHEA Grapalat" w:hAnsi="GHEA Grapalat" w:cs="Sylfaen"/>
          <w:sz w:val="24"/>
          <w:szCs w:val="24"/>
          <w:lang w:val="hy-AM"/>
        </w:rPr>
        <w:t>ի արժեքը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կազ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 xml:space="preserve">մել է 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948 040</w:t>
      </w:r>
      <w:r w:rsidRPr="00EA4198">
        <w:rPr>
          <w:rFonts w:ascii="GHEA Grapalat" w:hAnsi="GHEA Grapalat" w:cs="Sylfaen"/>
          <w:sz w:val="24"/>
          <w:szCs w:val="24"/>
          <w:lang w:val="hy-AM"/>
        </w:rPr>
        <w:t>,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1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 w:cs="Sylfaen"/>
          <w:sz w:val="24"/>
          <w:szCs w:val="24"/>
          <w:lang w:val="af-ZA"/>
        </w:rPr>
        <w:t>մլ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դրամ, որը նախորդ տարվա նույն ժամանակահատվածի նկատմամբ 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կազմում է 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99</w:t>
      </w:r>
      <w:r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316EFB" w:rsidRPr="00EA4198">
        <w:rPr>
          <w:rFonts w:ascii="GHEA Grapalat" w:hAnsi="GHEA Grapalat" w:cs="Cambria Math"/>
          <w:sz w:val="24"/>
          <w:szCs w:val="24"/>
          <w:lang w:val="hy-AM"/>
        </w:rPr>
        <w:t>7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 w:cs="Sylfaen"/>
          <w:sz w:val="24"/>
          <w:szCs w:val="24"/>
          <w:lang w:val="af-ZA"/>
        </w:rPr>
        <w:t>%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։ Ընդ որում բուսաաբուծության համախառն արտադրանքը կազմել է 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447583</w:t>
      </w:r>
      <w:r w:rsidRPr="00EA4198">
        <w:rPr>
          <w:rFonts w:ascii="GHEA Grapalat" w:hAnsi="GHEA Grapalat" w:cs="Sylfaen"/>
          <w:sz w:val="24"/>
          <w:szCs w:val="24"/>
          <w:lang w:val="hy-AM"/>
        </w:rPr>
        <w:t>,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մլն դրամ, </w:t>
      </w:r>
      <w:r w:rsidR="003F7136" w:rsidRPr="00EA4198">
        <w:rPr>
          <w:rFonts w:ascii="GHEA Grapalat" w:hAnsi="GHEA Grapalat" w:cs="Sylfaen"/>
          <w:sz w:val="24"/>
          <w:szCs w:val="24"/>
          <w:lang w:val="hy-AM"/>
        </w:rPr>
        <w:t>որը նախորդ տարվա նույն ժամաանակահատվածի ցուցանիշին գերազանցում է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7136"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="00924B3B"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47360A" w:rsidRPr="00EA4198">
        <w:rPr>
          <w:rFonts w:ascii="GHEA Grapalat" w:hAnsi="GHEA Grapalat" w:cs="Sylfaen"/>
          <w:sz w:val="24"/>
          <w:szCs w:val="24"/>
          <w:lang w:val="hy-AM"/>
        </w:rPr>
        <w:t xml:space="preserve">7 </w:t>
      </w:r>
      <w:r w:rsidRPr="00EA4198">
        <w:rPr>
          <w:rFonts w:ascii="GHEA Grapalat" w:hAnsi="GHEA Grapalat" w:cs="Sylfaen"/>
          <w:sz w:val="24"/>
          <w:szCs w:val="24"/>
          <w:lang w:val="hy-AM"/>
        </w:rPr>
        <w:t>%-ով,</w:t>
      </w:r>
      <w:r w:rsidRPr="00EA4198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 </w:t>
      </w:r>
      <w:r w:rsidRPr="00EA4198">
        <w:rPr>
          <w:rFonts w:ascii="GHEA Grapalat" w:hAnsi="GHEA Grapalat" w:cs="Sylfaen"/>
          <w:sz w:val="24"/>
          <w:szCs w:val="24"/>
          <w:lang w:val="hy-AM"/>
        </w:rPr>
        <w:t>իսկ անասնաբուծության համախառն արտադրանքը՝ 50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0456</w:t>
      </w:r>
      <w:r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316EFB" w:rsidRPr="00EA4198">
        <w:rPr>
          <w:rFonts w:ascii="GHEA Grapalat" w:hAnsi="GHEA Grapalat" w:cs="Sylfaen"/>
          <w:sz w:val="24"/>
          <w:szCs w:val="24"/>
          <w:lang w:val="hy-AM"/>
        </w:rPr>
        <w:t>8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մլ</w:t>
      </w:r>
      <w:r w:rsidR="00C23417" w:rsidRPr="00EA4198">
        <w:rPr>
          <w:rFonts w:ascii="GHEA Grapalat" w:hAnsi="GHEA Grapalat" w:cs="Sylfaen"/>
          <w:sz w:val="24"/>
          <w:szCs w:val="24"/>
          <w:lang w:val="hy-AM"/>
        </w:rPr>
        <w:t>ն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դրամ, որը նախորդ տարվա նույն ժամաանակահատվածի ցուցանիշի հետ համեմատած նվազել է </w:t>
      </w:r>
      <w:r w:rsidR="003F7136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="00924B3B"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D14AD8" w:rsidRPr="00EA4198">
        <w:rPr>
          <w:rFonts w:ascii="GHEA Grapalat" w:hAnsi="GHEA Grapalat" w:cs="Sylfaen"/>
          <w:sz w:val="24"/>
          <w:szCs w:val="24"/>
          <w:lang w:val="hy-AM"/>
        </w:rPr>
        <w:t>4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%-ով: </w:t>
      </w:r>
    </w:p>
    <w:p w14:paraId="154E350D" w14:textId="3D7F1134" w:rsidR="000926EF" w:rsidRPr="00EA4198" w:rsidRDefault="000926EF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Բուսաբուծության ճյուղում 202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թվականի նկատմամբ 202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թվականին աճել </w:t>
      </w:r>
      <w:r w:rsidRPr="00EA4198">
        <w:rPr>
          <w:rFonts w:ascii="GHEA Grapalat" w:hAnsi="GHEA Grapalat" w:cs="Sylfaen"/>
          <w:sz w:val="24"/>
          <w:szCs w:val="24"/>
          <w:lang w:val="hy-AM"/>
        </w:rPr>
        <w:t>են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հացահատիկի և հատիկաընդեղենի համախառն բերքի արտադրությունը՝ 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20</w:t>
      </w:r>
      <w:r w:rsidRPr="00EA4198">
        <w:rPr>
          <w:rFonts w:ascii="GHEA Grapalat" w:hAnsi="GHEA Grapalat" w:cs="Sylfaen"/>
          <w:sz w:val="24"/>
          <w:szCs w:val="24"/>
          <w:lang w:val="af-ZA"/>
        </w:rPr>
        <w:t>.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1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% ով, 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պտղի և 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հատապտղի համախառն բերքի ծավալները՝ 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4</w:t>
      </w:r>
      <w:r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>%-ով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,</w:t>
      </w:r>
      <w:r w:rsidR="00924B3B" w:rsidRPr="00EA4198">
        <w:rPr>
          <w:rFonts w:ascii="GHEA Grapalat" w:hAnsi="GHEA Grapalat" w:cs="Sylfaen"/>
          <w:sz w:val="24"/>
          <w:szCs w:val="24"/>
          <w:lang w:val="af-ZA"/>
        </w:rPr>
        <w:t xml:space="preserve"> կարտոֆիլինը՝ 3</w:t>
      </w:r>
      <w:r w:rsidR="00924B3B"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7</w:t>
      </w:r>
      <w:r w:rsidR="00924B3B" w:rsidRPr="00EA4198">
        <w:rPr>
          <w:rFonts w:ascii="GHEA Grapalat" w:hAnsi="GHEA Grapalat" w:cs="Sylfaen"/>
          <w:sz w:val="24"/>
          <w:szCs w:val="24"/>
          <w:lang w:val="af-ZA"/>
        </w:rPr>
        <w:t xml:space="preserve"> %-ով,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իսկ բանջարեղենի արտադրությունը նվազել է 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0</w:t>
      </w:r>
      <w:r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5 % ով, խաղողինը՝ 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% ով,  բոստան</w:t>
      </w:r>
      <w:r w:rsidRPr="00EA4198">
        <w:rPr>
          <w:rFonts w:ascii="GHEA Grapalat" w:hAnsi="GHEA Grapalat" w:cs="Sylfaen"/>
          <w:sz w:val="24"/>
          <w:szCs w:val="24"/>
          <w:lang w:val="hy-AM"/>
        </w:rPr>
        <w:t>ի համախառն բերքի արտադրությունը՝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6</w:t>
      </w:r>
      <w:r w:rsidRPr="00EA4198">
        <w:rPr>
          <w:rFonts w:ascii="GHEA Grapalat" w:hAnsi="GHEA Grapalat" w:cs="Sylfaen"/>
          <w:sz w:val="24"/>
          <w:szCs w:val="24"/>
          <w:lang w:val="af-ZA"/>
        </w:rPr>
        <w:t>,</w:t>
      </w:r>
      <w:r w:rsidR="00924B3B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% ով։</w:t>
      </w:r>
    </w:p>
    <w:p w14:paraId="7455E15A" w14:textId="08554992" w:rsidR="000926EF" w:rsidRPr="00EA4198" w:rsidRDefault="000926EF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202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թվականին 202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թվականի նկատմամբ սպանդի համար իրացվել է 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="00061B50"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4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%-ով պակաս գյուղատնտեսական կենդանի և թռչուն, արտադրվել է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%-ով քիչ կաթ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 xml:space="preserve">, ձվի </w:t>
      </w:r>
      <w:r w:rsidRPr="00EA4198">
        <w:rPr>
          <w:rFonts w:ascii="GHEA Grapalat" w:hAnsi="GHEA Grapalat" w:cs="Sylfaen"/>
          <w:sz w:val="24"/>
          <w:szCs w:val="24"/>
          <w:lang w:val="af-ZA"/>
        </w:rPr>
        <w:t>արտադր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 xml:space="preserve">ությունը պակասել է 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2</w:t>
      </w:r>
      <w:r w:rsidRPr="00EA4198">
        <w:rPr>
          <w:rFonts w:ascii="Cambria Math" w:hAnsi="Cambria Math" w:cs="Cambria Math"/>
          <w:sz w:val="24"/>
          <w:szCs w:val="24"/>
          <w:lang w:val="af-ZA"/>
        </w:rPr>
        <w:t>․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%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-</w:t>
      </w:r>
      <w:r w:rsidRPr="00EA4198">
        <w:rPr>
          <w:rFonts w:ascii="GHEA Grapalat" w:hAnsi="GHEA Grapalat" w:cs="Sylfaen"/>
          <w:sz w:val="24"/>
          <w:szCs w:val="24"/>
          <w:lang w:val="af-ZA"/>
        </w:rPr>
        <w:t>ով։</w:t>
      </w:r>
    </w:p>
    <w:p w14:paraId="1DB32B4A" w14:textId="26A3BEA5" w:rsidR="000926EF" w:rsidRPr="00EA4198" w:rsidRDefault="000926EF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Անասնաբուծական համախառն արտադրանքի ծավալի որոշակի կրճատումը պայմանավորված է հիմնականում տարեսկզբի դրությամբ անասնագլխաքանակի կրճատմամբ, մասնավորապես՝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խոշոր եղջերավոր կենդանիների գլխաքանակը նախորդ տարվա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տարեսկզբի դրությամբ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նվազել է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10</w:t>
      </w:r>
      <w:r w:rsidRPr="00EA4198">
        <w:rPr>
          <w:rFonts w:ascii="GHEA Grapalat" w:hAnsi="GHEA Grapalat" w:cs="Sylfaen"/>
          <w:sz w:val="24"/>
          <w:szCs w:val="24"/>
          <w:lang w:val="af-ZA"/>
        </w:rPr>
        <w:t>.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3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%-ով, այդ թվում կովերինը՝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lastRenderedPageBreak/>
        <w:t>9</w:t>
      </w:r>
      <w:r w:rsidRPr="00EA4198">
        <w:rPr>
          <w:rFonts w:ascii="GHEA Grapalat" w:hAnsi="GHEA Grapalat" w:cs="Sylfaen"/>
          <w:sz w:val="24"/>
          <w:szCs w:val="24"/>
          <w:lang w:val="af-ZA"/>
        </w:rPr>
        <w:t>.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0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%-ով (կովերի գլխաքանակի կրճատումը չի գերազանցում տավարաբուծության ոլորտում կիրառվող կենդանիների խոտանի տարեկան թույլատրելի նորմերը), մանր եղջերավոր կենդանիներինը՝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9</w:t>
      </w:r>
      <w:r w:rsidRPr="00EA4198">
        <w:rPr>
          <w:rFonts w:ascii="GHEA Grapalat" w:hAnsi="GHEA Grapalat" w:cs="Sylfaen"/>
          <w:sz w:val="24"/>
          <w:szCs w:val="24"/>
          <w:lang w:val="af-ZA"/>
        </w:rPr>
        <w:t>.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%-ով, գյուղատնտեսական թռչունների գլխաքանակը՝ շուրջ </w:t>
      </w:r>
      <w:r w:rsidR="00061B50" w:rsidRPr="00EA4198">
        <w:rPr>
          <w:rFonts w:ascii="GHEA Grapalat" w:hAnsi="GHEA Grapalat" w:cs="Sylfaen"/>
          <w:sz w:val="24"/>
          <w:szCs w:val="24"/>
          <w:lang w:val="hy-AM"/>
        </w:rPr>
        <w:t>14</w:t>
      </w:r>
      <w:r w:rsidRPr="00EA4198">
        <w:rPr>
          <w:rFonts w:ascii="GHEA Grapalat" w:hAnsi="GHEA Grapalat" w:cs="Sylfaen"/>
          <w:sz w:val="24"/>
          <w:szCs w:val="24"/>
          <w:lang w:val="af-ZA"/>
        </w:rPr>
        <w:t>%-ով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, իսկ</w:t>
      </w:r>
      <w:r w:rsidR="00FC5173" w:rsidRPr="00EA4198">
        <w:rPr>
          <w:rFonts w:ascii="GHEA Grapalat" w:hAnsi="GHEA Grapalat" w:cs="Sylfaen"/>
          <w:sz w:val="24"/>
          <w:szCs w:val="24"/>
          <w:lang w:val="af-ZA"/>
        </w:rPr>
        <w:t xml:space="preserve"> խոզերինը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 xml:space="preserve"> աճել է</w:t>
      </w:r>
      <w:r w:rsidR="00FC5173" w:rsidRPr="00EA4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8</w:t>
      </w:r>
      <w:r w:rsidR="00FC5173" w:rsidRPr="00EA4198">
        <w:rPr>
          <w:rFonts w:ascii="Cambria Math" w:hAnsi="Cambria Math" w:cs="Cambria Math"/>
          <w:sz w:val="24"/>
          <w:szCs w:val="24"/>
          <w:lang w:val="hy-AM"/>
        </w:rPr>
        <w:t>․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9</w:t>
      </w:r>
      <w:r w:rsidR="00FC5173" w:rsidRPr="00EA4198">
        <w:rPr>
          <w:rFonts w:ascii="GHEA Grapalat" w:hAnsi="GHEA Grapalat" w:cs="Sylfaen"/>
          <w:sz w:val="24"/>
          <w:szCs w:val="24"/>
          <w:lang w:val="af-ZA"/>
        </w:rPr>
        <w:t>%-ով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144A5F" w14:textId="77777777" w:rsidR="00EE33DD" w:rsidRPr="00EA4198" w:rsidRDefault="00EE33DD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912BA6" w14:textId="4DAAC8C7" w:rsidR="00EE33DD" w:rsidRPr="00EA4198" w:rsidRDefault="00EE33DD" w:rsidP="00EA419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ՈԼՈՐՏԸ 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՝ </w:t>
      </w:r>
      <w:r w:rsidRPr="00EA4198">
        <w:rPr>
          <w:rFonts w:ascii="GHEA Grapalat" w:eastAsiaTheme="minorEastAsia" w:hAnsi="GHEA Grapalat" w:cs="Times New Roman"/>
          <w:b/>
          <w:bCs/>
          <w:sz w:val="24"/>
          <w:szCs w:val="24"/>
          <w:lang w:val="hy-AM" w:eastAsia="x-none"/>
        </w:rPr>
        <w:t>Փոքր և միջին ձեռնարկատիրություն</w:t>
      </w:r>
    </w:p>
    <w:p w14:paraId="494462E2" w14:textId="77777777" w:rsidR="00EE33DD" w:rsidRPr="00EA4198" w:rsidRDefault="00EE33DD" w:rsidP="00EA4198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92614D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Կառավարության 2021 թվականի թիվ 1902-Լ որոշման 1-ին հավելվածի Էկոնոմիկայի նախարարության բաժնով սահմանված են հետևյալ նպատակները</w:t>
      </w:r>
      <w:r w:rsidRPr="00EA4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DABA1B7" w14:textId="77777777" w:rsidR="00EE33DD" w:rsidRPr="00EA4198" w:rsidRDefault="00EE33DD" w:rsidP="00EA4198">
      <w:pPr>
        <w:pStyle w:val="ListParagraph"/>
        <w:numPr>
          <w:ilvl w:val="0"/>
          <w:numId w:val="6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Նպատակ 2 – Արտադրողականության աճ/գործազրկության նվազում</w:t>
      </w:r>
    </w:p>
    <w:p w14:paraId="0C679BB0" w14:textId="77777777" w:rsidR="00EE33DD" w:rsidRPr="00EA4198" w:rsidRDefault="00EE33DD" w:rsidP="00EA4198">
      <w:pPr>
        <w:pStyle w:val="ListParagraph"/>
        <w:numPr>
          <w:ilvl w:val="0"/>
          <w:numId w:val="6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Նպատակ 4 – ՀՆԱ-ում ՓՄՁ սուբյեկտների տեսակարար կշռի ավելացում։</w:t>
      </w:r>
    </w:p>
    <w:p w14:paraId="7DCC56DF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Արտադրողականության աճին և գործազրկության նվազում՝</w:t>
      </w:r>
    </w:p>
    <w:p w14:paraId="232DA219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 xml:space="preserve">Կառավարության 2020 թվականի թիվ 355-Լ որոշման 1-ին հավելվածով հաստատվել է </w:t>
      </w:r>
      <w:r w:rsidRPr="00EA4198">
        <w:rPr>
          <w:rFonts w:ascii="GHEA Grapalat" w:hAnsi="GHEA Grapalat" w:cs="Arial"/>
          <w:sz w:val="24"/>
          <w:szCs w:val="24"/>
          <w:u w:val="single"/>
          <w:lang w:val="hy-AM"/>
        </w:rPr>
        <w:t>Արտադրողականության խթանման նպատակային ծրագիրը</w:t>
      </w:r>
      <w:r w:rsidRPr="00EA4198">
        <w:rPr>
          <w:rFonts w:ascii="GHEA Grapalat" w:hAnsi="GHEA Grapalat" w:cs="Arial"/>
          <w:sz w:val="24"/>
          <w:szCs w:val="24"/>
          <w:lang w:val="hy-AM"/>
        </w:rPr>
        <w:t xml:space="preserve"> (2022 թվականի թիվ 106-Լ որոշմամբ), որի նպատակն է տնտեսավարողների համար ստեղծել մատչելի ֆինանսական միջոցների հասանելիություն՝ արդիականացնելու արտադրական հնարավորությունները և խթանելու նոր տեխնոլոգիաների ներմուծումը Հայաստանի Հանրապետություն, որը կբերի արտադրվող ապրանքների և մատուցվող ծառայությունների մրցունակության բարձրացման և աշխատանքի արտադրողականության աճի։</w:t>
      </w:r>
    </w:p>
    <w:p w14:paraId="28B060F1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Օժանակդությունը տրամադրվում է նպատակային վարկերի/լիզինգի տարեկան տոկոսադրույքի սուբսիդավորման ձևով։ Վարկը/լիզինգը կարող է օգտագործվել նպատակային ոլորտներում գործունեություն իրականացնող տնտեսավարողների կողմից՝</w:t>
      </w:r>
    </w:p>
    <w:p w14:paraId="1183B873" w14:textId="77777777" w:rsidR="00EE33DD" w:rsidRPr="00EA4198" w:rsidRDefault="00EE33DD" w:rsidP="00EA4198">
      <w:pPr>
        <w:pStyle w:val="ListParagraph"/>
        <w:numPr>
          <w:ilvl w:val="0"/>
          <w:numId w:val="7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նոր/չօգտագործված մեքենա-սարքավորումների ձեռքբերման նպատակով,</w:t>
      </w:r>
    </w:p>
    <w:p w14:paraId="0547BE6A" w14:textId="77777777" w:rsidR="00EE33DD" w:rsidRPr="00EA4198" w:rsidRDefault="00EE33DD" w:rsidP="00EA4198">
      <w:pPr>
        <w:pStyle w:val="ListParagraph"/>
        <w:numPr>
          <w:ilvl w:val="0"/>
          <w:numId w:val="7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կապիտալ շինարարության իրականացման նպատակով,</w:t>
      </w:r>
    </w:p>
    <w:p w14:paraId="2C60A98C" w14:textId="77777777" w:rsidR="00EE33DD" w:rsidRPr="00EA4198" w:rsidRDefault="00EE33DD" w:rsidP="00EA4198">
      <w:pPr>
        <w:pStyle w:val="ListParagraph"/>
        <w:numPr>
          <w:ilvl w:val="0"/>
          <w:numId w:val="7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բիզնես գործընթացների օպտիմալացման նպատակով թվային հարթակների ձեռքբերման նպատակով,</w:t>
      </w:r>
    </w:p>
    <w:p w14:paraId="13552CD0" w14:textId="77777777" w:rsidR="00EE33DD" w:rsidRPr="00EA4198" w:rsidRDefault="00EE33DD" w:rsidP="00EA4198">
      <w:pPr>
        <w:pStyle w:val="ListParagraph"/>
        <w:numPr>
          <w:ilvl w:val="0"/>
          <w:numId w:val="7"/>
        </w:numPr>
        <w:shd w:val="clear" w:color="auto" w:fill="FFFFFF"/>
        <w:suppressAutoHyphens/>
        <w:spacing w:after="0"/>
        <w:ind w:left="0"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արտադրողականության աճի նպատակով խորհրդատվական կազմակերպության և փորձակետի ներգրավման նպատակով։</w:t>
      </w:r>
    </w:p>
    <w:p w14:paraId="45A4EFF1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Միջոցառման մեկնարկից մինչև 2024 թվականի հունվարի 1-ը տնտեսավարողների և ֆինանսական կազմակերպությունների միջև կնքվել է 3591 պայմանագիր՝ 207 մլրդ ընդհանուր պորտֆելով, որի 59%-ը ուղղվել է ՓՄՁ սուբյեկտների ֆինանսավորմանը։</w:t>
      </w:r>
    </w:p>
    <w:p w14:paraId="6395DC39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Կառավարության 2020 թվականի թիվ 355-Լ որոշման 2-րդ հավելվածով հաստատված </w:t>
      </w:r>
      <w:r w:rsidRPr="00EA4198">
        <w:rPr>
          <w:rFonts w:ascii="GHEA Grapalat" w:hAnsi="GHEA Grapalat" w:cs="Arial"/>
          <w:sz w:val="24"/>
          <w:szCs w:val="24"/>
          <w:u w:val="single"/>
          <w:lang w:val="hy-AM"/>
        </w:rPr>
        <w:t>Բարձր որակավորում ունեցող մասնագետների ներգրավման նպատակային ծրագիր</w:t>
      </w:r>
      <w:r w:rsidRPr="00EA4198">
        <w:rPr>
          <w:rFonts w:ascii="GHEA Grapalat" w:hAnsi="GHEA Grapalat" w:cs="Arial"/>
          <w:sz w:val="24"/>
          <w:szCs w:val="24"/>
          <w:lang w:val="hy-AM"/>
        </w:rPr>
        <w:t xml:space="preserve"> (Կառավարության 2022 թիվ 1224-Լ որոշմամբ հաստատված), որի նպատակն է բարձրացնել Հայաստանի Հանրապետության տարածքում գործող ընկերությունների արտադրողականությունը և աջակցել տնտեսավարողներին ներգրավել բարձր որակավորում ունեցող մասնագետների:</w:t>
      </w:r>
    </w:p>
    <w:p w14:paraId="072E5139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Նպատակային ծրագրի շրջանակներում 2023 թվականին փոխհատուցում ստացել են 29 կազմակերպություններ՝ 368 մասնագետների համար։</w:t>
      </w:r>
    </w:p>
    <w:p w14:paraId="16EEBB5F" w14:textId="77777777" w:rsidR="00EE33DD" w:rsidRPr="00EA4198" w:rsidRDefault="00EE33DD" w:rsidP="00EA4198">
      <w:pPr>
        <w:shd w:val="clear" w:color="auto" w:fill="FFFFFF"/>
        <w:spacing w:after="0"/>
        <w:ind w:firstLine="270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ՀՆԱ-ում ՓՄՁ սուբյեկտների տեսակարար կշռի ավելացում՝</w:t>
      </w:r>
    </w:p>
    <w:p w14:paraId="5F96DFCF" w14:textId="77777777" w:rsidR="00EE33DD" w:rsidRPr="00EA4198" w:rsidRDefault="00EE33DD" w:rsidP="00EA4198">
      <w:pPr>
        <w:shd w:val="clear" w:color="auto" w:fill="FFFFFF"/>
        <w:spacing w:after="0"/>
        <w:ind w:firstLine="2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A4198">
        <w:rPr>
          <w:rFonts w:ascii="GHEA Grapalat" w:hAnsi="GHEA Grapalat" w:cs="Arial"/>
          <w:sz w:val="24"/>
          <w:szCs w:val="24"/>
          <w:lang w:val="hy-AM"/>
        </w:rPr>
        <w:t>Նախատեսվում է համապարփակ աջակցություն սահմանել ՓՄՁ սուբյեկտների համար՝ ձեռնարկատիրական զարգացման դասընթացների մասնակցության վճարի փոխհատուցման, արտոնյալ պայմաններով վարկերի տրամադրման և հովանոցային մեխանիզմով պետական երաշխավորությունների տրամադրման ձևով՝ նպաստելով աճի ներուժ ունեցող ՓՄՁ սուբյեկտների ընդլայնմանը և մրցունակության բարձրացմանը։</w:t>
      </w:r>
    </w:p>
    <w:p w14:paraId="558AFD34" w14:textId="64973A9F" w:rsidR="00EE33DD" w:rsidRPr="00EA4198" w:rsidRDefault="00EE33DD" w:rsidP="00EA419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ՈԼՈՐՏԸ ՝ </w:t>
      </w:r>
      <w:r w:rsidRPr="00EA4198">
        <w:rPr>
          <w:rFonts w:ascii="GHEA Grapalat" w:hAnsi="GHEA Grapalat" w:cs="Times Armenian"/>
          <w:b/>
          <w:bCs/>
          <w:sz w:val="24"/>
          <w:szCs w:val="24"/>
          <w:lang w:val="hy-AM"/>
        </w:rPr>
        <w:t>Արտահանման խթան</w:t>
      </w:r>
      <w:r w:rsidRPr="00EA4198">
        <w:rPr>
          <w:rFonts w:ascii="GHEA Grapalat" w:hAnsi="GHEA Grapalat" w:cs="Times Armenian"/>
          <w:b/>
          <w:bCs/>
          <w:sz w:val="24"/>
          <w:szCs w:val="24"/>
          <w:lang w:val="hy-AM"/>
        </w:rPr>
        <w:t>ու</w:t>
      </w:r>
      <w:r w:rsidRPr="00EA4198">
        <w:rPr>
          <w:rFonts w:ascii="GHEA Grapalat" w:hAnsi="GHEA Grapalat" w:cs="Times Armenian"/>
          <w:b/>
          <w:bCs/>
          <w:sz w:val="24"/>
          <w:szCs w:val="24"/>
          <w:lang w:val="hy-AM"/>
        </w:rPr>
        <w:t>մ</w:t>
      </w:r>
    </w:p>
    <w:p w14:paraId="26DD3E54" w14:textId="77777777" w:rsidR="00EE33DD" w:rsidRPr="00EA4198" w:rsidRDefault="00EE33DD" w:rsidP="00EA4198">
      <w:pPr>
        <w:pStyle w:val="mechtex"/>
        <w:tabs>
          <w:tab w:val="left" w:pos="5040"/>
        </w:tabs>
        <w:spacing w:line="276" w:lineRule="auto"/>
        <w:ind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72A32C86" w14:textId="66A36EC4" w:rsidR="00EE33DD" w:rsidRPr="00EA4198" w:rsidRDefault="00EE33DD" w:rsidP="00EA4198">
      <w:pPr>
        <w:pStyle w:val="mechtex"/>
        <w:tabs>
          <w:tab w:val="left" w:pos="5040"/>
        </w:tabs>
        <w:spacing w:line="276" w:lineRule="auto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Times Armenian"/>
          <w:sz w:val="24"/>
          <w:szCs w:val="24"/>
          <w:lang w:val="hy-AM"/>
        </w:rPr>
        <w:t xml:space="preserve">2025-2027 </w:t>
      </w:r>
      <w:r w:rsidRPr="00EA4198">
        <w:rPr>
          <w:rFonts w:ascii="GHEA Grapalat" w:hAnsi="GHEA Grapalat" w:cs="Sylfaen"/>
          <w:sz w:val="24"/>
          <w:szCs w:val="24"/>
          <w:lang w:val="hy-AM"/>
        </w:rPr>
        <w:t>թթ</w:t>
      </w:r>
      <w:r w:rsidRPr="00EA4198">
        <w:rPr>
          <w:rFonts w:ascii="GHEA Grapalat" w:hAnsi="GHEA Grapalat" w:cs="Times Armenian"/>
          <w:sz w:val="24"/>
          <w:szCs w:val="24"/>
          <w:lang w:val="hy-AM"/>
        </w:rPr>
        <w:t>. Արտահանման խթանման  պ</w:t>
      </w:r>
      <w:r w:rsidRPr="00EA4198">
        <w:rPr>
          <w:rFonts w:ascii="GHEA Grapalat" w:hAnsi="GHEA Grapalat" w:cs="Sylfaen"/>
          <w:sz w:val="24"/>
          <w:szCs w:val="24"/>
          <w:lang w:val="hy-AM"/>
        </w:rPr>
        <w:t>ետական քաղաքականության հիմնական նպատակն է մեծացնել ապրանքների և ծառայությունների արտահանման ծավալները, լուծել փոքր շուկայի խնդիրը, հիմնականում ներմուծողից վերածվել արտահանող  երկրի, մեծացնել արտահանման չափաբաժինը ազգային եկամտի ավելացման գործընթացում, որով պայմանավորված</w:t>
      </w:r>
      <w:r w:rsidRPr="00EA4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8EFFC6C" w14:textId="77777777" w:rsidR="00EE33DD" w:rsidRPr="00EA4198" w:rsidRDefault="00EE33DD" w:rsidP="00EA4198">
      <w:pPr>
        <w:pStyle w:val="mechtex"/>
        <w:numPr>
          <w:ilvl w:val="0"/>
          <w:numId w:val="8"/>
        </w:numPr>
        <w:tabs>
          <w:tab w:val="left" w:pos="810"/>
          <w:tab w:val="left" w:pos="5040"/>
        </w:tabs>
        <w:spacing w:line="276" w:lineRule="auto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միջազգային շուկաներում նպաստել հայկական արտադրանքի առաջմղմանը, </w:t>
      </w:r>
    </w:p>
    <w:p w14:paraId="29B3C33B" w14:textId="77777777" w:rsidR="00EE33DD" w:rsidRPr="00EA4198" w:rsidRDefault="00EE33DD" w:rsidP="00EA4198">
      <w:pPr>
        <w:pStyle w:val="mechtex"/>
        <w:numPr>
          <w:ilvl w:val="0"/>
          <w:numId w:val="8"/>
        </w:numPr>
        <w:tabs>
          <w:tab w:val="left" w:pos="630"/>
          <w:tab w:val="left" w:pos="5040"/>
        </w:tabs>
        <w:spacing w:line="276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դիվերսիֆիկացնել ապրանքային շուկաները, </w:t>
      </w:r>
    </w:p>
    <w:p w14:paraId="3A150029" w14:textId="77777777" w:rsidR="00EE33DD" w:rsidRPr="00EA4198" w:rsidRDefault="00EE33DD" w:rsidP="00EA4198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358DAA" w14:textId="78666138" w:rsidR="00EE33DD" w:rsidRPr="00EA4198" w:rsidRDefault="00EE33DD" w:rsidP="00EA419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ՈԼՈՐՏԸ ՝ </w:t>
      </w:r>
      <w:r w:rsidRPr="00EA4198">
        <w:rPr>
          <w:rFonts w:ascii="GHEA Grapalat" w:hAnsi="GHEA Grapalat" w:cs="Times Armenian"/>
          <w:sz w:val="24"/>
          <w:szCs w:val="24"/>
          <w:lang w:val="hy-AM"/>
        </w:rPr>
        <w:t>Որակի ենթակառուցվածքի զարգացում</w:t>
      </w:r>
    </w:p>
    <w:p w14:paraId="1A8884CF" w14:textId="77777777" w:rsidR="00EE33DD" w:rsidRPr="00EA4198" w:rsidRDefault="00EE33DD" w:rsidP="00EA4198">
      <w:pPr>
        <w:pStyle w:val="mechtex"/>
        <w:tabs>
          <w:tab w:val="left" w:pos="5040"/>
        </w:tabs>
        <w:spacing w:line="276" w:lineRule="auto"/>
        <w:ind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7D4CE3D9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Հավատարմագրման ոլորտը, հանդիսանալով որակի ենթակառուցվածքի համակարգի բաղկացուցիչ մաս, էական ազդեցություն ունի Հայաստանի Հանրապետության տնտեսական զարգացման վրա: </w:t>
      </w:r>
    </w:p>
    <w:p w14:paraId="09CDF811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«Հավատարմագրման ազգային մարմին» ՊՈԱԿ-ը (այսուհետ՝ ԱՐՄՆԱԲ), «Հավատարմագրման մասին» ՀՀ օրենքի համաձայն, Հայաստանի 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lastRenderedPageBreak/>
        <w:t>Հանրապետությունում համապատասխանության գնահատման մարմիններին հավատարմագրող միակ մարմինն է, որն իր գործունեությունը սկսել է 2012 թվականի դեկտեմբերից:</w:t>
      </w:r>
    </w:p>
    <w:p w14:paraId="3DB25DF2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1) ԱՐՄՆԱԲ-ը ՀՀ կառավարության 13.02.2020 թ.-ի N 152-Ն և 05.02.2015 թ. N 86-Ա որոշումներով նշանակվել է համապատասխանաբար` սերտիֆիկացման մարմինների և փորձարկման լաբորատորիաների (կենտրոնների) Եվրասիական տնտեսական միության   (մաքսային միության) միասնական ռեեստրի ազգային մասի ձևավորումն ու վարումն իրականացնող և Եվրասիական տնտեսական միության (Մաքսային միության) տեխնիկական կանոնակարգերով նախատեսված համապատասխանության գնահատման փաստաթղթերի միասնական ռեեստրի ազգային մասի ձևավորումն ու վարումն իրականացնող լիազոր մարմին: ՀԱՄ-ն իրականացնում է Եվրասիական տնտեսական հանձնաժողովի խորհրդի 2016թ. մայիսի 10-ի N 38, N 39, N 1 որոշումներով հաստատված տեխնոլոգիական փաստաթղթերին համապատասխան ընդհանուր գործընթացներին միանալու աշխատանքներ:</w:t>
      </w:r>
    </w:p>
    <w:p w14:paraId="7ECAE879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2) Եվրասիական տնտեսական միության (ԵԱՏՄ) շրջանակներում հավատարմագրման ոլորտում համագործակցությունն իրականացվում է «Եվրասիական տնտեսական միության մասին» պայմանագրի «Տեխնիկական կանոնակարգում» Х-րդ բաժնի «Հավատարմագրում» 54-րդ հոդվածի և պայմանագրի 11-րդ հավելվածի հիման վրա: </w:t>
      </w:r>
    </w:p>
    <w:p w14:paraId="494568CF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3) ԱՐՄՆԱԲ-ի ներկայացուցիչները հանդիսանում են ԵԱՏՄ Եվրասիական տնտեսական հանձնաժողովի «Սանիտարական, անասնաբուժական և բուսասանիտարական միջոցների տեխնիկական կանոնակարգման Խորհրդատվական կոմիտեի տեխնիկական կանոնակարգման և համապատասխանության գնահատման ենթակոմիտե» աշխատանքային խմբի անդամներ:</w:t>
      </w:r>
    </w:p>
    <w:p w14:paraId="06D2BAF9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4) ԱՐՄՆԱԲ-ի տնօրենը հանդիսանում է ԵԱՏՄ անդամ պետությունների Հավատարմագրման մարմինների ղեկավարների խորհրդի անդամ:</w:t>
      </w:r>
    </w:p>
    <w:p w14:paraId="5D5B99E7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5) ԱՐՄՆԱԲ-ը, որպես Հայաստանի Հանրապետության հավատարմագրման ազգային մարմին, մասնակցում է Անկախ պետությունների համագործակցության ստանդարտացման, չափագիտության և սերտիֆիկացման միջպետական խորհրդի (МГС) հետևյալ գիտատեխնիկական հանձնաժողովի և աշխատանքային խմբի աշխատանքներին՝</w:t>
      </w:r>
    </w:p>
    <w:p w14:paraId="1E2C1CA5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-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ab/>
        <w:t>հավատարմագրման գիտատեխնիկական հանձնաժողով (НТКА),</w:t>
      </w:r>
    </w:p>
    <w:p w14:paraId="1D53A4BC" w14:textId="77777777" w:rsidR="00EE33DD" w:rsidRPr="00EA4198" w:rsidRDefault="00EE33DD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lastRenderedPageBreak/>
        <w:t>-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ab/>
        <w:t>հավատարմագրման տարածաշրջանային կազմակերպության ստեղծման աշխատանքային խումբ (РГ РОА):</w:t>
      </w:r>
    </w:p>
    <w:p w14:paraId="3F58ED37" w14:textId="2CE37C04" w:rsidR="00EE33DD" w:rsidRPr="00EA4198" w:rsidRDefault="00EE33DD" w:rsidP="00EA4198">
      <w:pPr>
        <w:spacing w:after="0"/>
        <w:ind w:firstLine="270"/>
        <w:jc w:val="both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6) 2016 թվականի նոյեմբերի 24-ից Հավատարմագրման եվրոպական համագործակցության (EA)-ի ասոցացված անդամ է: EA-ի հետ բազմակողմ ճանաչման համաձայնագիր կնքելու նպտակով 2023 թվականի դեկտեմբերի 8-ին հայտը և կից փաստաթղթերը ներկայացվել են EA-ի քարտուղարություն։ Պատասխան նամակով հաստատվել է հայտի գրանցումը և ընտրվել է EA-ի անդամ-պետությունների հավատարմագրման ազգային մարմինների գնահատողներից կազմված գնահատման խումբը: Գնահատման խմբի կողմից իրականացվելիք ԱՐՄՆԱԲ-ի գնահատման դրական արդյունքների դեպքում կկնքվի բազմակողմ ճանաչման համաձայնագիր:</w:t>
      </w:r>
    </w:p>
    <w:p w14:paraId="5F59F53F" w14:textId="78C7D7FF" w:rsidR="00EE33DD" w:rsidRPr="00EA4198" w:rsidRDefault="00EE33DD" w:rsidP="00EA419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eastAsiaTheme="minorEastAsia" w:hAnsi="GHEA Grapalat" w:cs="Times New Roman"/>
          <w:b/>
          <w:bCs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ՈԼՈՐՏԸ ՝ </w:t>
      </w:r>
      <w:r w:rsidRPr="00EA4198">
        <w:rPr>
          <w:rFonts w:ascii="GHEA Grapalat" w:hAnsi="GHEA Grapalat" w:cs="Times Armenian"/>
          <w:b/>
          <w:bCs/>
          <w:sz w:val="24"/>
          <w:szCs w:val="24"/>
          <w:lang w:val="hy-AM"/>
        </w:rPr>
        <w:t>Զբոսաշրջություն</w:t>
      </w:r>
    </w:p>
    <w:p w14:paraId="0AACA718" w14:textId="77777777" w:rsidR="00EE33DD" w:rsidRPr="00EA4198" w:rsidRDefault="00EE33DD" w:rsidP="00EA4198">
      <w:pPr>
        <w:pStyle w:val="ListParagraph"/>
        <w:tabs>
          <w:tab w:val="left" w:pos="270"/>
          <w:tab w:val="left" w:pos="360"/>
        </w:tabs>
        <w:spacing w:after="16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Բազմաթիվ երկրներում, այդ թվում նաև՝ Հայաստանի Հանրապետությունում զբոսաշրջությունը տնտեսության գերակա ճյուղ է։ Զբոսաշրջությունը նպաստում է տնտեսության զարգացմանը՝ ստեղծելով աշխատատեղեր և հնարավորություններ ինչպես քաղաքներում, այնպես էլ քաղաքային միջավայրից դուրս, կանխելով  գյուղական բնակավայրերից բնակչության արտահոսքը և աշխատուժի արտագաղթը և ընդգրկելով հարակից բոլոր ոլորտները։</w:t>
      </w:r>
    </w:p>
    <w:p w14:paraId="1C93000A" w14:textId="77777777" w:rsidR="00EE33DD" w:rsidRPr="00EA4198" w:rsidRDefault="00EE33DD" w:rsidP="00EA4198">
      <w:pPr>
        <w:pStyle w:val="ListParagraph"/>
        <w:tabs>
          <w:tab w:val="left" w:pos="180"/>
          <w:tab w:val="left" w:pos="360"/>
        </w:tabs>
        <w:spacing w:after="16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 xml:space="preserve">Ամբողջ աշխարհում զբոսաշրջությունը նպաստում է ներդրումների ներհոսքին, ենթակառուցվածքների զարգացմանը, համաչափ տնտեսական զարգացմանը, մշակութային ժառանգության պահպանմանը և զարգացմանը, միջմշակութային հաղորդակցմանը, միջազգային համերաշխությանն ու խաղաղության ամրապնդմանը։ </w:t>
      </w:r>
    </w:p>
    <w:p w14:paraId="2BCC656D" w14:textId="77777777" w:rsidR="00EE33DD" w:rsidRPr="00EA4198" w:rsidRDefault="00EE33DD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207BF5A" w14:textId="77777777" w:rsidR="0011478F" w:rsidRPr="00EA4198" w:rsidRDefault="0011478F" w:rsidP="00EA41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eastAsia="x-none"/>
        </w:rPr>
        <w:t xml:space="preserve">ՈԼՈՐՏԱՅԻՆ ՔԱՂԱՔԱԿԱՆՈՒԹՅԱՆ ՀԻՄՆԱԿԱՆ ԹԻՐԱԽՆԵՐԸ </w:t>
      </w:r>
    </w:p>
    <w:p w14:paraId="46FD8D38" w14:textId="77777777" w:rsidR="009D2EC9" w:rsidRPr="00EA4198" w:rsidRDefault="009D2EC9" w:rsidP="00EA4198">
      <w:pPr>
        <w:pStyle w:val="ListParagraph"/>
        <w:numPr>
          <w:ilvl w:val="0"/>
          <w:numId w:val="13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Գյուղատնտեսության ոլորտում Կառավարության կողմից իրականացվող քաղաքականությունն ուղղված է լինելու գյուղատնտեսության ինտենսիվացմանը, արտադրողականության բարձրացմանը, հողային ռեսուրսների նպատակային և ջրային ռեսուրսների խնայողաբար ու արդյունավետ օգտագործմանը, պարենային անվտանգության ապահովման մակարդակի բարձրացմանը, անասնաբուծության և բուսաբուծության զարգացմանը, արդիական տեխնոլոգիաների ներդրմանը, արտադրված արտադրանքի իրացմանն ու արտահանման խթանմանը, </w:t>
      </w:r>
      <w:r w:rsidRPr="00EA4198">
        <w:rPr>
          <w:rFonts w:ascii="GHEA Grapalat" w:hAnsi="GHEA Grapalat" w:cs="Sylfaen"/>
          <w:sz w:val="24"/>
          <w:szCs w:val="24"/>
          <w:lang w:val="af-ZA"/>
        </w:rPr>
        <w:lastRenderedPageBreak/>
        <w:t>գյուղատնտեսական ամբողջ արժեշղթայում ընդգրկված սուբյեկտների՝ գյուղացիական տնտեսությունների, կոոպերատիվների, գյուղատնտեսական մթերք վերամշակողների եկամուտների ավելացմանը։</w:t>
      </w:r>
    </w:p>
    <w:p w14:paraId="081F7C6E" w14:textId="77777777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Ագրոպարենային համակարգի զարգացման քաղաքա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 xml:space="preserve">կանության մեջ որպես հիմնական գերակայություններ են դրվել ՝ գյուղատնտեսության ռեսուրսային ներուժի արդյունավետ օգտագործումը, պարենային անվտանգության մակարդակի բարձրացումը, առաջադիմական տեխնոլոգիաների ներդրումը, գյուղատնտեսության ինտենսիվացման մակարդակի բարձրացումը, բնակլիմայական ռիսկերի մեղմումն ու տնտեսավարողների եկամուտների ավելացումը: </w:t>
      </w:r>
    </w:p>
    <w:p w14:paraId="3AF54EB2" w14:textId="77777777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Գյուղատնտեսության ոլորտում իրականացվող պետական աջակցության քաղաքականությունը բխում է հիմնականում ՀՀ կառավարու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թյան 2021 թվականի օգոստոսի 18-ի N 1363-Ա որոշմամբ հաս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տատ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ված Հայաստանի Հանրապե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տու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թյան կառա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վա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րու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թյան 2021-2026 թվականների ծրագրից (2.4. Գյուղատնտե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սու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թյուն բաժին), ՀՀ կառավա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րության 2019 թվականի դեկտեմբերի 19-ի N 1886-Լ որոշ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մամբ հաս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տատ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ված Հայաստանի Հանրապետության գյուղատնտեսության ոլորտի տնտեսական զարգացումն ապահովող հիմնական ուղղությունների 2020-2030 թվականների ռազմա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վարությունից։</w:t>
      </w:r>
    </w:p>
    <w:p w14:paraId="6FD8C81F" w14:textId="77777777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Գյուղատնտեսության ոլորտում ՄԺԾԾ ժամանակահատվածում պետական քաղաքականությունը նպատակաուղղված է լինելու </w:t>
      </w:r>
    </w:p>
    <w:p w14:paraId="6A8235B6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Գյուղատնտեսության ինտենսիվացման մակարդակի բարձրացմանը, առաջադիմական և նորարարական տեխնոլոգիաների ներդրմանը,</w:t>
      </w:r>
    </w:p>
    <w:p w14:paraId="2053690D" w14:textId="7F095066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գյուղատնտեսական նշանակության հողերի նպատակային և արդյունավետ օգտագործմանը, չօգտագործվող հողերը շրջանառության մեջ դնելուն և հողեր</w:t>
      </w:r>
      <w:r w:rsidR="00C55AEE" w:rsidRPr="00EA4198">
        <w:rPr>
          <w:rFonts w:ascii="GHEA Grapalat" w:hAnsi="GHEA Grapalat"/>
          <w:sz w:val="24"/>
          <w:szCs w:val="24"/>
          <w:lang w:val="hy-AM"/>
        </w:rPr>
        <w:t>ի</w:t>
      </w:r>
      <w:r w:rsidRPr="00EA4198">
        <w:rPr>
          <w:rFonts w:ascii="GHEA Grapalat" w:hAnsi="GHEA Grapalat"/>
          <w:sz w:val="24"/>
          <w:szCs w:val="24"/>
          <w:lang w:val="hy-AM"/>
        </w:rPr>
        <w:t xml:space="preserve"> խոշորաց</w:t>
      </w:r>
      <w:r w:rsidR="00C55AEE" w:rsidRPr="00EA4198">
        <w:rPr>
          <w:rFonts w:ascii="GHEA Grapalat" w:hAnsi="GHEA Grapalat"/>
          <w:sz w:val="24"/>
          <w:szCs w:val="24"/>
          <w:lang w:val="hy-AM"/>
        </w:rPr>
        <w:t>մանը</w:t>
      </w:r>
      <w:r w:rsidRPr="00EA4198">
        <w:rPr>
          <w:rFonts w:ascii="GHEA Grapalat" w:hAnsi="GHEA Grapalat"/>
          <w:sz w:val="24"/>
          <w:szCs w:val="24"/>
          <w:lang w:val="hy-AM"/>
        </w:rPr>
        <w:t>,</w:t>
      </w:r>
    </w:p>
    <w:p w14:paraId="3AF1DAB6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ոռոգման ջրի օգտագործման արդյունավետության բարձրացմանը,</w:t>
      </w:r>
    </w:p>
    <w:p w14:paraId="6B603A6D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գյուղատնտեսական մշակաբույսերի ամբողջական ապահովագրության ներդրմանը,</w:t>
      </w:r>
    </w:p>
    <w:p w14:paraId="6D63E591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գյուղատնտեսական տեխնիկայի հավաքակազմի թարմացմանը,</w:t>
      </w:r>
    </w:p>
    <w:p w14:paraId="2C6ADDB8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ինտենսիվ այգեգործության զարգացմանը, բարձրարժեք մշակաբույսերի արտադրության խթանմանը,</w:t>
      </w:r>
    </w:p>
    <w:p w14:paraId="1AC8A101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ջերմատնային տնտեսությունների զարգացմանը,</w:t>
      </w:r>
    </w:p>
    <w:p w14:paraId="1DD56FF1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տեղական սերմարտադրության խթանմանը,</w:t>
      </w:r>
    </w:p>
    <w:p w14:paraId="20343C75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կենդանիների համարակալման և հաշվառման համակարգի ներդրմանը,</w:t>
      </w:r>
    </w:p>
    <w:p w14:paraId="0F00080F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lastRenderedPageBreak/>
        <w:t>անասնապահության ոլորտում առաջադիմական տեխնոլոգիաների ներդրմանը, տոհմային անասնաբուծության զարգացմանը,</w:t>
      </w:r>
    </w:p>
    <w:p w14:paraId="0F41D9BB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ագրովերամշակողների արտադրական կարողությունների հզորացմանը, մթերումների արդյունավետ կազմակերպմանը,</w:t>
      </w:r>
    </w:p>
    <w:p w14:paraId="6C4A89D6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գյուղատնտեսական արտադրանքի իրացման կառուցակարգերի կատարելագործմանը, մեծածախ շուկաների և լոգիստիկ կենտրոնների ստեղծմանը,</w:t>
      </w:r>
    </w:p>
    <w:p w14:paraId="0296CBB6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սննդամթերքի անվտանգության ոլորտի օրենսդրության կատարելագործմանը,</w:t>
      </w:r>
    </w:p>
    <w:p w14:paraId="6E11A70F" w14:textId="77777777" w:rsidR="009D2EC9" w:rsidRPr="00EA4198" w:rsidRDefault="009D2EC9" w:rsidP="00EA4198">
      <w:pPr>
        <w:pStyle w:val="ListParagraph"/>
        <w:numPr>
          <w:ilvl w:val="0"/>
          <w:numId w:val="3"/>
        </w:numPr>
        <w:spacing w:after="0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կենդանիների և բույսերի հիվանդությունների կանխարգելման արդյունավետ համակարգի ներդրմանը և շահագործմանը։</w:t>
      </w:r>
    </w:p>
    <w:p w14:paraId="53EA6086" w14:textId="77777777" w:rsidR="00296606" w:rsidRPr="00EA4198" w:rsidRDefault="00296606" w:rsidP="00EA4198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37EA1A" w14:textId="77777777" w:rsidR="00296606" w:rsidRPr="00EA4198" w:rsidRDefault="00296606" w:rsidP="00EA419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Կառավարության 2021 թվականի թիվ 1902-Լ որոշման 1-ին հավելվածի Էկոնոմիկայի նախարարության բաժնում սահմանվում են ոլորտային քաղաքականության հիմնական թիրախները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</w:p>
    <w:p w14:paraId="321CAB68" w14:textId="77777777" w:rsidR="00296606" w:rsidRPr="00EA4198" w:rsidRDefault="00296606" w:rsidP="00EA4198">
      <w:pPr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u w:val="single"/>
          <w:lang w:val="hy-AM" w:eastAsia="x-none"/>
        </w:rPr>
        <w:t xml:space="preserve">Նպատակ 2՝ </w:t>
      </w:r>
      <w:r w:rsidRPr="00EA4198">
        <w:rPr>
          <w:rFonts w:ascii="GHEA Grapalat" w:hAnsi="GHEA Grapalat"/>
          <w:sz w:val="24"/>
          <w:szCs w:val="24"/>
          <w:u w:val="single"/>
          <w:lang w:val="hy-AM"/>
        </w:rPr>
        <w:t>Արտադրողականության աճ և գործազրկության կրճատում</w:t>
      </w:r>
    </w:p>
    <w:p w14:paraId="10E884F5" w14:textId="77777777" w:rsidR="00296606" w:rsidRPr="00EA4198" w:rsidRDefault="00296606" w:rsidP="00EA4198">
      <w:pPr>
        <w:pStyle w:val="ListParagraph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Ռազմավարական և առաջնահերթ ոլորտներում տեխնոլոգիական արդիականացում և բիզնես պրոցեսների օպտիմալացում</w:t>
      </w:r>
    </w:p>
    <w:p w14:paraId="43416C1E" w14:textId="77777777" w:rsidR="00296606" w:rsidRPr="00EA4198" w:rsidRDefault="00296606" w:rsidP="00EA4198">
      <w:pPr>
        <w:pStyle w:val="ListParagraph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Աշխատաշուկայում բարձր որակավորում ունեցող մասնագետների ներգրավում տեղական ընկերություններում</w:t>
      </w:r>
    </w:p>
    <w:p w14:paraId="3FDD8ED2" w14:textId="77777777" w:rsidR="00296606" w:rsidRPr="00EA4198" w:rsidRDefault="00296606" w:rsidP="00EA4198">
      <w:pPr>
        <w:pStyle w:val="ListParagraph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Տնտեսության մեջ թվային գործիքների կիրառման խթանման հայեցակարգի հաստատում</w:t>
      </w:r>
    </w:p>
    <w:p w14:paraId="31BCD28D" w14:textId="77777777" w:rsidR="00296606" w:rsidRPr="00EA4198" w:rsidRDefault="00296606" w:rsidP="00EA4198">
      <w:pPr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EA4198">
        <w:rPr>
          <w:rFonts w:ascii="GHEA Grapalat" w:hAnsi="GHEA Grapalat"/>
          <w:sz w:val="24"/>
          <w:szCs w:val="24"/>
          <w:u w:val="single"/>
          <w:lang w:val="hy-AM"/>
        </w:rPr>
        <w:t>Նպատակ 4` Փոքր և միջին ձեռնարկատիրության զարգացում</w:t>
      </w:r>
    </w:p>
    <w:p w14:paraId="33E630E8" w14:textId="77777777" w:rsidR="00296606" w:rsidRPr="00EA4198" w:rsidRDefault="00296606" w:rsidP="00EA4198">
      <w:pPr>
        <w:pStyle w:val="ListParagraph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Նորարարական նախաձեռնությունների հայեցակարգի հաստատում, հաստատումից հետո ծրագրերի մշակում և իրագործում</w:t>
      </w:r>
    </w:p>
    <w:p w14:paraId="20EF0B46" w14:textId="77777777" w:rsidR="00296606" w:rsidRPr="00EA4198" w:rsidRDefault="00296606" w:rsidP="00EA4198">
      <w:pPr>
        <w:pStyle w:val="ListParagraph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</w:rPr>
      </w:pPr>
      <w:proofErr w:type="spellStart"/>
      <w:r w:rsidRPr="00EA4198">
        <w:rPr>
          <w:rFonts w:ascii="GHEA Grapalat" w:hAnsi="GHEA Grapalat"/>
          <w:sz w:val="24"/>
          <w:szCs w:val="24"/>
        </w:rPr>
        <w:t>Մասնավոր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հատվածի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կարողությունների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զարգացում</w:t>
      </w:r>
      <w:proofErr w:type="spellEnd"/>
    </w:p>
    <w:p w14:paraId="0D9051DA" w14:textId="77777777" w:rsidR="00296606" w:rsidRPr="00EA4198" w:rsidRDefault="00296606" w:rsidP="00EA4198">
      <w:pPr>
        <w:pStyle w:val="ListParagraph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</w:rPr>
      </w:pPr>
      <w:proofErr w:type="spellStart"/>
      <w:r w:rsidRPr="00EA4198">
        <w:rPr>
          <w:rFonts w:ascii="GHEA Grapalat" w:hAnsi="GHEA Grapalat"/>
          <w:sz w:val="24"/>
          <w:szCs w:val="24"/>
        </w:rPr>
        <w:t>Պետություն-մասնավոր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երկխոսության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պետական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ծրագրի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հաստատում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A4198">
        <w:rPr>
          <w:rFonts w:ascii="GHEA Grapalat" w:hAnsi="GHEA Grapalat"/>
          <w:sz w:val="24"/>
          <w:szCs w:val="24"/>
        </w:rPr>
        <w:t>իրագործում</w:t>
      </w:r>
      <w:proofErr w:type="spellEnd"/>
    </w:p>
    <w:p w14:paraId="74A0CE5E" w14:textId="77777777" w:rsidR="00296606" w:rsidRPr="00EA4198" w:rsidRDefault="00296606" w:rsidP="00EA4198">
      <w:pPr>
        <w:pStyle w:val="ListParagraph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A4198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ապահովում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, «ՓՄՁ </w:t>
      </w:r>
      <w:proofErr w:type="spellStart"/>
      <w:r w:rsidRPr="00EA4198">
        <w:rPr>
          <w:rFonts w:ascii="GHEA Grapalat" w:hAnsi="GHEA Grapalat"/>
          <w:sz w:val="24"/>
          <w:szCs w:val="24"/>
        </w:rPr>
        <w:t>ներդրումային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ֆոնդի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A4198">
        <w:rPr>
          <w:rFonts w:ascii="GHEA Grapalat" w:hAnsi="GHEA Grapalat"/>
          <w:sz w:val="24"/>
          <w:szCs w:val="24"/>
        </w:rPr>
        <w:t>զարգացման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բանկի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հայեցակարգի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հաստատում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A4198">
        <w:rPr>
          <w:rFonts w:ascii="GHEA Grapalat" w:hAnsi="GHEA Grapalat"/>
          <w:sz w:val="24"/>
          <w:szCs w:val="24"/>
        </w:rPr>
        <w:t>հաստատման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դեպքում</w:t>
      </w:r>
      <w:proofErr w:type="spellEnd"/>
      <w:r w:rsidRPr="00EA41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4198">
        <w:rPr>
          <w:rFonts w:ascii="GHEA Grapalat" w:hAnsi="GHEA Grapalat"/>
          <w:sz w:val="24"/>
          <w:szCs w:val="24"/>
        </w:rPr>
        <w:t>իրագործում</w:t>
      </w:r>
      <w:proofErr w:type="spellEnd"/>
    </w:p>
    <w:p w14:paraId="5819D280" w14:textId="77777777" w:rsidR="00296606" w:rsidRPr="00EA4198" w:rsidRDefault="00296606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</w:p>
    <w:p w14:paraId="21F49D01" w14:textId="0190C62D" w:rsidR="00296606" w:rsidRPr="00EA4198" w:rsidRDefault="00296606" w:rsidP="00EA4198">
      <w:pPr>
        <w:pStyle w:val="mechtex"/>
        <w:numPr>
          <w:ilvl w:val="0"/>
          <w:numId w:val="11"/>
        </w:numPr>
        <w:spacing w:line="276" w:lineRule="auto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kern w:val="16"/>
          <w:sz w:val="24"/>
          <w:szCs w:val="24"/>
          <w:lang w:val="hy-AM"/>
        </w:rPr>
        <w:t>Առնվազն</w:t>
      </w:r>
      <w:r w:rsidRPr="00EA4198">
        <w:rPr>
          <w:rFonts w:ascii="GHEA Grapalat" w:hAnsi="GHEA Grapalat"/>
          <w:kern w:val="16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 w:cs="Sylfaen"/>
          <w:kern w:val="16"/>
          <w:sz w:val="24"/>
          <w:szCs w:val="24"/>
          <w:lang w:val="hy-AM"/>
        </w:rPr>
        <w:t>միջնաժամկետ</w:t>
      </w:r>
      <w:r w:rsidRPr="00EA4198">
        <w:rPr>
          <w:rFonts w:ascii="GHEA Grapalat" w:hAnsi="GHEA Grapalat"/>
          <w:kern w:val="16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հատվածում արտահանման խթանման ոլորտում </w:t>
      </w: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ծրագրային միջոցառումների հիմնական նպատակն է ապրանքային շուկաների </w:t>
      </w:r>
      <w:r w:rsidRPr="00EA4198">
        <w:rPr>
          <w:rFonts w:ascii="GHEA Grapalat" w:hAnsi="GHEA Grapalat" w:cs="Sylfaen"/>
          <w:sz w:val="24"/>
          <w:szCs w:val="24"/>
          <w:lang w:val="hy-AM"/>
        </w:rPr>
        <w:lastRenderedPageBreak/>
        <w:t>դիվերսիֆիկացումը, արտաքին նոր շուկաներ մուտք գործելուն նպաստելը, թիրախային շուկաներում վաճառքների ծավալների մեծացումը։</w:t>
      </w:r>
    </w:p>
    <w:p w14:paraId="4037E756" w14:textId="77777777" w:rsidR="00296606" w:rsidRPr="00EA4198" w:rsidRDefault="00296606" w:rsidP="00EA4198">
      <w:pPr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       Նպատակների իրագործումը միտված է տարեկան ծրագրով նախատեսված միջոցառումների իրականացմանը, ապահովելու արտահանման ծավալների դինամիկ աճը։  </w:t>
      </w:r>
    </w:p>
    <w:p w14:paraId="3BB29C05" w14:textId="77777777" w:rsidR="00296606" w:rsidRPr="00EA4198" w:rsidRDefault="00296606" w:rsidP="00EA4198">
      <w:pPr>
        <w:pStyle w:val="BodyText2"/>
        <w:spacing w:line="276" w:lineRule="auto"/>
        <w:ind w:firstLine="270"/>
        <w:jc w:val="both"/>
        <w:rPr>
          <w:rFonts w:ascii="GHEA Grapalat" w:hAnsi="GHEA Grapalat" w:cs="Times Armenian"/>
          <w:b w:val="0"/>
          <w:bCs w:val="0"/>
          <w:sz w:val="24"/>
          <w:lang w:val="hy-AM"/>
        </w:rPr>
      </w:pPr>
      <w:r w:rsidRPr="00EA4198">
        <w:rPr>
          <w:rFonts w:ascii="GHEA Grapalat" w:hAnsi="GHEA Grapalat" w:cs="Sylfaen"/>
          <w:b w:val="0"/>
          <w:bCs w:val="0"/>
          <w:kern w:val="16"/>
          <w:sz w:val="24"/>
          <w:lang w:val="hy-AM"/>
        </w:rPr>
        <w:t>2025-2027 թթ</w:t>
      </w:r>
      <w:r w:rsidRPr="00EA4198">
        <w:rPr>
          <w:rFonts w:ascii="Cambria Math" w:eastAsia="MS Mincho" w:hAnsi="Cambria Math" w:cs="Cambria Math"/>
          <w:b w:val="0"/>
          <w:bCs w:val="0"/>
          <w:kern w:val="16"/>
          <w:sz w:val="24"/>
          <w:lang w:val="hy-AM"/>
        </w:rPr>
        <w:t>․</w:t>
      </w:r>
      <w:r w:rsidRPr="00EA4198">
        <w:rPr>
          <w:rFonts w:ascii="GHEA Grapalat" w:eastAsia="MS Mincho" w:hAnsi="GHEA Grapalat" w:cs="MS Mincho"/>
          <w:b w:val="0"/>
          <w:bCs w:val="0"/>
          <w:kern w:val="16"/>
          <w:sz w:val="24"/>
          <w:lang w:val="hy-AM"/>
        </w:rPr>
        <w:t xml:space="preserve"> արտահանման խթանման</w:t>
      </w:r>
      <w:r w:rsidRPr="00EA4198">
        <w:rPr>
          <w:rFonts w:ascii="GHEA Grapalat" w:hAnsi="GHEA Grapalat" w:cs="Sylfaen"/>
          <w:b w:val="0"/>
          <w:bCs w:val="0"/>
          <w:sz w:val="24"/>
          <w:lang w:val="hy-AM"/>
        </w:rPr>
        <w:t xml:space="preserve"> ոլորտում</w:t>
      </w:r>
      <w:r w:rsidRPr="00EA4198">
        <w:rPr>
          <w:rFonts w:ascii="GHEA Grapalat" w:hAnsi="GHEA Grapalat" w:cs="Sylfaen"/>
          <w:b w:val="0"/>
          <w:bCs w:val="0"/>
          <w:kern w:val="16"/>
          <w:sz w:val="24"/>
          <w:lang w:val="hy-AM"/>
        </w:rPr>
        <w:t xml:space="preserve"> իրականացվելիք միջոցառումները նպատակաուղղված կլինեն</w:t>
      </w:r>
      <w:r w:rsidRPr="00EA4198">
        <w:rPr>
          <w:rFonts w:ascii="Cambria Math" w:eastAsia="MS Mincho" w:hAnsi="Cambria Math" w:cs="Cambria Math"/>
          <w:b w:val="0"/>
          <w:bCs w:val="0"/>
          <w:kern w:val="16"/>
          <w:sz w:val="24"/>
          <w:lang w:val="hy-AM"/>
        </w:rPr>
        <w:t>․</w:t>
      </w:r>
      <w:r w:rsidRPr="00EA4198">
        <w:rPr>
          <w:rFonts w:ascii="GHEA Grapalat" w:eastAsia="MS Mincho" w:hAnsi="GHEA Grapalat" w:cs="Cambria Math"/>
          <w:b w:val="0"/>
          <w:bCs w:val="0"/>
          <w:kern w:val="16"/>
          <w:sz w:val="24"/>
          <w:lang w:val="hy-AM"/>
        </w:rPr>
        <w:t xml:space="preserve"> պետական աջակցության գործիքակազմի կիրառման միջոցով արտահանման ծավալների ավելացման խթանումը, արտահանելի հատվածի ընդլայնումը և թիրախային շուկաներ մուտք գործելուն նպաստումը, արտաքին շուկաներում հայկական արտադրանքի առավել մեծ ներկայացվածության նպաստումը։</w:t>
      </w:r>
      <w:r w:rsidRPr="00EA4198">
        <w:rPr>
          <w:rFonts w:ascii="GHEA Grapalat" w:hAnsi="GHEA Grapalat" w:cs="Times Armenian"/>
          <w:b w:val="0"/>
          <w:bCs w:val="0"/>
          <w:sz w:val="24"/>
          <w:lang w:val="hy-AM"/>
        </w:rPr>
        <w:t xml:space="preserve"> </w:t>
      </w:r>
    </w:p>
    <w:p w14:paraId="4E18341F" w14:textId="77777777" w:rsidR="00296606" w:rsidRPr="00EA4198" w:rsidRDefault="00296606" w:rsidP="00EA4198">
      <w:pPr>
        <w:pStyle w:val="BodyText"/>
        <w:spacing w:line="276" w:lineRule="auto"/>
        <w:ind w:firstLine="270"/>
        <w:jc w:val="both"/>
        <w:rPr>
          <w:rFonts w:ascii="GHEA Grapalat" w:hAnsi="GHEA Grapalat"/>
          <w:b w:val="0"/>
          <w:bCs w:val="0"/>
          <w:sz w:val="24"/>
          <w:szCs w:val="24"/>
          <w:lang w:val="hy-AM"/>
        </w:rPr>
      </w:pPr>
      <w:r w:rsidRPr="00EA4198">
        <w:rPr>
          <w:rFonts w:ascii="GHEA Grapalat" w:hAnsi="GHEA Grapalat" w:cs="Tahoma"/>
          <w:b w:val="0"/>
          <w:bCs w:val="0"/>
          <w:sz w:val="24"/>
          <w:szCs w:val="24"/>
          <w:lang w:val="hy-AM"/>
        </w:rPr>
        <w:t xml:space="preserve"> Մ</w:t>
      </w:r>
      <w:r w:rsidRPr="00EA4198">
        <w:rPr>
          <w:rFonts w:ascii="GHEA Grapalat" w:hAnsi="GHEA Grapalat"/>
          <w:b w:val="0"/>
          <w:bCs w:val="0"/>
          <w:sz w:val="24"/>
          <w:szCs w:val="24"/>
          <w:lang w:val="hy-AM"/>
        </w:rPr>
        <w:t>իջոցառումների իրականացումը կ</w:t>
      </w:r>
      <w:r w:rsidRPr="00EA4198">
        <w:rPr>
          <w:rFonts w:ascii="GHEA Grapalat" w:hAnsi="GHEA Grapalat" w:cs="Tahoma"/>
          <w:b w:val="0"/>
          <w:bCs w:val="0"/>
          <w:sz w:val="24"/>
          <w:szCs w:val="24"/>
          <w:lang w:val="hy-AM"/>
        </w:rPr>
        <w:t>նպաստի հետևյալ արդյունքների ապահովմանը</w:t>
      </w:r>
      <w:r w:rsidRPr="00EA4198">
        <w:rPr>
          <w:rFonts w:ascii="Cambria Math" w:eastAsia="MS Mincho" w:hAnsi="Cambria Math" w:cs="Cambria Math"/>
          <w:b w:val="0"/>
          <w:bCs w:val="0"/>
          <w:sz w:val="24"/>
          <w:szCs w:val="24"/>
          <w:lang w:val="hy-AM"/>
        </w:rPr>
        <w:t>․</w:t>
      </w:r>
      <w:r w:rsidRPr="00EA4198">
        <w:rPr>
          <w:rFonts w:ascii="GHEA Grapalat" w:hAnsi="GHEA Grapalat" w:cs="Tahoma"/>
          <w:b w:val="0"/>
          <w:bCs w:val="0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</w:p>
    <w:p w14:paraId="11946DF8" w14:textId="77777777" w:rsidR="00296606" w:rsidRPr="00EA4198" w:rsidRDefault="00296606" w:rsidP="00EA4198">
      <w:pPr>
        <w:numPr>
          <w:ilvl w:val="0"/>
          <w:numId w:val="12"/>
        </w:numPr>
        <w:spacing w:after="0"/>
        <w:ind w:left="0" w:firstLine="270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A4198">
        <w:rPr>
          <w:rFonts w:ascii="GHEA Grapalat" w:hAnsi="GHEA Grapalat" w:cs="Calibri"/>
          <w:sz w:val="24"/>
          <w:szCs w:val="24"/>
          <w:lang w:val="hy-AM"/>
        </w:rPr>
        <w:t>Հայաստանի Հանրապետության տնտեսության, նրա առանձին ոլորտների և կազմակերպությունների արտադրանքի առաջմղմանը և նոր գործարար կապերի ձևավորմանը</w:t>
      </w:r>
    </w:p>
    <w:p w14:paraId="064B7B5E" w14:textId="77777777" w:rsidR="00296606" w:rsidRPr="00EA4198" w:rsidRDefault="00296606" w:rsidP="00EA4198">
      <w:pPr>
        <w:numPr>
          <w:ilvl w:val="0"/>
          <w:numId w:val="12"/>
        </w:numPr>
        <w:spacing w:after="0"/>
        <w:ind w:left="0" w:firstLine="270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A4198">
        <w:rPr>
          <w:rFonts w:ascii="GHEA Grapalat" w:hAnsi="GHEA Grapalat" w:cs="Calibri"/>
          <w:sz w:val="24"/>
          <w:szCs w:val="24"/>
          <w:lang w:val="hy-AM"/>
        </w:rPr>
        <w:t>Արտերկրում հայկական արտադրանքի ճանաչելիության բարձրացմանը և սպառողների դրական կարծիքի ձևավորմանը</w:t>
      </w:r>
    </w:p>
    <w:p w14:paraId="6026E882" w14:textId="77777777" w:rsidR="00296606" w:rsidRPr="00EA4198" w:rsidRDefault="00296606" w:rsidP="00EA4198">
      <w:pPr>
        <w:pStyle w:val="BodyText"/>
        <w:spacing w:line="276" w:lineRule="auto"/>
        <w:ind w:firstLine="270"/>
        <w:jc w:val="both"/>
        <w:rPr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EA4198">
        <w:rPr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Վերոնշյալ նպատակները համահունչ և փոխկապակցված են ՀՀ կառավարության գործունեության ծրագրային միջոցառումների ցանկում ընդգրկված նպատակային ուղղությունների հետ, դրանք բխում են ՀՀ կառավարության գործունեության ընդհանուր նպատակներից և կրում են շարունակական ու կայուն բնույթ։ </w:t>
      </w:r>
    </w:p>
    <w:p w14:paraId="141AB183" w14:textId="77777777" w:rsidR="00296606" w:rsidRPr="00EA4198" w:rsidRDefault="00296606" w:rsidP="00EA4198">
      <w:pPr>
        <w:pStyle w:val="BodyText"/>
        <w:overflowPunct/>
        <w:autoSpaceDE/>
        <w:autoSpaceDN/>
        <w:adjustRightInd/>
        <w:spacing w:line="276" w:lineRule="auto"/>
        <w:ind w:firstLine="270"/>
        <w:jc w:val="both"/>
        <w:textAlignment w:val="auto"/>
        <w:rPr>
          <w:rFonts w:ascii="GHEA Grapalat" w:hAnsi="GHEA Grapalat"/>
          <w:b w:val="0"/>
          <w:bCs w:val="0"/>
          <w:sz w:val="24"/>
          <w:szCs w:val="24"/>
          <w:lang w:val="hy-AM"/>
        </w:rPr>
      </w:pPr>
      <w:r w:rsidRPr="00EA4198">
        <w:rPr>
          <w:rFonts w:ascii="GHEA Grapalat" w:hAnsi="GHEA Grapalat" w:cs="Sylfaen"/>
          <w:b w:val="0"/>
          <w:bCs w:val="0"/>
          <w:kern w:val="16"/>
          <w:sz w:val="24"/>
          <w:szCs w:val="24"/>
          <w:lang w:val="hy-AM"/>
        </w:rPr>
        <w:t>2025-2027 թթ</w:t>
      </w:r>
      <w:r w:rsidRPr="00EA4198">
        <w:rPr>
          <w:rFonts w:ascii="Cambria Math" w:hAnsi="Cambria Math" w:cs="Cambria Math"/>
          <w:b w:val="0"/>
          <w:bCs w:val="0"/>
          <w:kern w:val="16"/>
          <w:sz w:val="24"/>
          <w:szCs w:val="24"/>
          <w:lang w:val="hy-AM"/>
        </w:rPr>
        <w:t>․</w:t>
      </w:r>
      <w:r w:rsidRPr="00EA4198">
        <w:rPr>
          <w:rFonts w:ascii="GHEA Grapalat" w:hAnsi="GHEA Grapalat" w:cs="Sylfaen"/>
          <w:b w:val="0"/>
          <w:bCs w:val="0"/>
          <w:kern w:val="16"/>
          <w:sz w:val="24"/>
          <w:szCs w:val="24"/>
          <w:lang w:val="hy-AM"/>
        </w:rPr>
        <w:t xml:space="preserve"> </w:t>
      </w:r>
      <w:r w:rsidRPr="00EA4198">
        <w:rPr>
          <w:rFonts w:ascii="GHEA Grapalat" w:hAnsi="GHEA Grapalat"/>
          <w:b w:val="0"/>
          <w:bCs w:val="0"/>
          <w:sz w:val="24"/>
          <w:szCs w:val="24"/>
          <w:lang w:val="hy-AM"/>
        </w:rPr>
        <w:t xml:space="preserve">նպատակների ապահովման ուղղությամբ նախատեսվում է`  </w:t>
      </w:r>
    </w:p>
    <w:p w14:paraId="5F18AC2E" w14:textId="77777777" w:rsidR="00296606" w:rsidRPr="00EA4198" w:rsidRDefault="00296606" w:rsidP="00EA4198">
      <w:pPr>
        <w:pStyle w:val="ListParagraph"/>
        <w:numPr>
          <w:ilvl w:val="0"/>
          <w:numId w:val="12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198">
        <w:rPr>
          <w:rFonts w:ascii="GHEA Grapalat" w:hAnsi="GHEA Grapalat" w:cs="Calibri"/>
          <w:sz w:val="24"/>
          <w:szCs w:val="24"/>
          <w:lang w:val="hy-AM" w:eastAsia="en-GB"/>
        </w:rPr>
        <w:t xml:space="preserve">համաշխարհային շուկայում խթանել և ամրապնդել հայկական արտադրանքի ծավալների վաճառքի աճը, </w:t>
      </w:r>
    </w:p>
    <w:p w14:paraId="50924663" w14:textId="77777777" w:rsidR="00296606" w:rsidRPr="00EA4198" w:rsidRDefault="00296606" w:rsidP="00EA4198">
      <w:pPr>
        <w:pStyle w:val="BodyTex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70"/>
        <w:jc w:val="both"/>
        <w:textAlignment w:val="auto"/>
        <w:rPr>
          <w:rFonts w:ascii="GHEA Grapalat" w:hAnsi="GHEA Grapalat" w:cs="GHEA Grapalat"/>
          <w:b w:val="0"/>
          <w:bCs w:val="0"/>
          <w:sz w:val="24"/>
          <w:szCs w:val="24"/>
          <w:lang w:val="hy-AM"/>
        </w:rPr>
      </w:pPr>
      <w:r w:rsidRPr="00EA4198">
        <w:rPr>
          <w:rFonts w:ascii="GHEA Grapalat" w:hAnsi="GHEA Grapalat" w:cs="Sylfaen"/>
          <w:b w:val="0"/>
          <w:bCs w:val="0"/>
          <w:sz w:val="24"/>
          <w:szCs w:val="24"/>
          <w:lang w:val="hy-AM"/>
        </w:rPr>
        <w:t>նպաստել</w:t>
      </w:r>
      <w:r w:rsidRPr="00EA4198">
        <w:rPr>
          <w:rFonts w:ascii="GHEA Grapalat" w:hAnsi="GHEA Grapalat" w:cs="Calibri"/>
          <w:b w:val="0"/>
          <w:bCs w:val="0"/>
          <w:sz w:val="24"/>
          <w:szCs w:val="24"/>
          <w:lang w:val="hy-AM" w:eastAsia="en-GB"/>
        </w:rPr>
        <w:t xml:space="preserve"> նոր շուկաներ հայկական արտադրանքի մուտք գործելուն,</w:t>
      </w:r>
    </w:p>
    <w:p w14:paraId="16A33077" w14:textId="77777777" w:rsidR="00296606" w:rsidRPr="00EA4198" w:rsidRDefault="00296606" w:rsidP="00EA4198">
      <w:pPr>
        <w:pStyle w:val="BodyTex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70"/>
        <w:jc w:val="both"/>
        <w:textAlignment w:val="auto"/>
        <w:rPr>
          <w:rFonts w:ascii="GHEA Grapalat" w:hAnsi="GHEA Grapalat" w:cs="GHEA Grapalat"/>
          <w:b w:val="0"/>
          <w:bCs w:val="0"/>
          <w:sz w:val="24"/>
          <w:szCs w:val="24"/>
          <w:lang w:val="hy-AM"/>
        </w:rPr>
      </w:pPr>
      <w:r w:rsidRPr="00EA4198">
        <w:rPr>
          <w:rFonts w:ascii="GHEA Grapalat" w:hAnsi="GHEA Grapalat"/>
          <w:b w:val="0"/>
          <w:bCs w:val="0"/>
          <w:sz w:val="24"/>
          <w:szCs w:val="24"/>
          <w:lang w:val="hy-AM"/>
        </w:rPr>
        <w:t>զարգացնել այլ երկրների հետ երկկողմ առևտրատնտեսական հարաբերությունները։</w:t>
      </w:r>
    </w:p>
    <w:p w14:paraId="0E170865" w14:textId="77777777" w:rsidR="00296606" w:rsidRPr="00EA4198" w:rsidRDefault="00296606" w:rsidP="00EA4198">
      <w:pPr>
        <w:ind w:firstLine="27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A4198">
        <w:rPr>
          <w:rFonts w:ascii="GHEA Grapalat" w:hAnsi="GHEA Grapalat" w:cs="Sylfaen"/>
          <w:sz w:val="24"/>
          <w:szCs w:val="24"/>
          <w:lang w:val="hy-AM"/>
        </w:rPr>
        <w:t xml:space="preserve">Մինչև 2027 </w:t>
      </w:r>
      <w:r w:rsidRPr="00EA41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թվականը նախատեսվում է Հայաստանից ապրանքների արտահանման մինչև 20 տոկոս աճի ապահովում։ </w:t>
      </w:r>
    </w:p>
    <w:p w14:paraId="24A9C31D" w14:textId="77777777" w:rsidR="00296606" w:rsidRPr="00EA4198" w:rsidRDefault="00296606" w:rsidP="00EA4198">
      <w:pPr>
        <w:ind w:firstLine="27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A41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FAF00C2" w14:textId="24A3F787" w:rsidR="00296606" w:rsidRPr="00EA4198" w:rsidRDefault="00296606" w:rsidP="00EA4198">
      <w:pPr>
        <w:pStyle w:val="ListParagraph"/>
        <w:numPr>
          <w:ilvl w:val="0"/>
          <w:numId w:val="11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lastRenderedPageBreak/>
        <w:t>Որակի ենթակառուցվածքների զարգացման ծ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րագրի իրականացումը կապված է.</w:t>
      </w:r>
    </w:p>
    <w:p w14:paraId="17BCE86C" w14:textId="77777777" w:rsidR="00296606" w:rsidRPr="00EA4198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1.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1902–Լ որոշման հավելվածով հաստատված ծրագրի 11.3 կետով սահմանված «11.3. Համապատասխանության գնահատման և հավատարմագրման կարողությունների զարգացում՝ թիրախ սահմանելով Հավատարմագրման ազգային մարմնի միջազգային ճանաչմանն ուղղված երկկողմ և բազմակողմ ճանաչման համաձայնագրերի կնքումը տարածաշրջանային և միջազգային հավատարմագրման կազմակերպությունների հետ (EA, ILAC, IAF)»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</w:p>
    <w:p w14:paraId="452D37D3" w14:textId="77777777" w:rsidR="00296606" w:rsidRPr="00EA4198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2.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քարտեզի «Հոդված 130. Համագործակցություն առևտրի տեխնիկական խոչընդոտների ոլորտում» համաձայն Հավատարմագրման եվրոպական համագործակցության (EA) հետ բազմակողմ ճանաչման համաձայնագրի կնքում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</w:p>
    <w:p w14:paraId="72C36327" w14:textId="77777777" w:rsidR="00296606" w:rsidRPr="00EA4198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3. ՄԱԿ-ի «Կայուն զարգացման 2030 օրակարգում» ներառված 17-րդ «Գործընկերություններ հանուն նպատակների» հետևյալ ենթակետի հետ «17.10 Խթանել համընդհանուր, կանոնահեն, բաց, ոչ-խտրական և արդարացի բազմակողմ առևտրային համակարգի ստեղծում Առևտրի համաշխարհային կազմակերպության ներքո, այդ թվում՝  Դոհայի զարգացման օրակարգի բանակցությունների եզրահանգման միջոցով»,</w:t>
      </w:r>
    </w:p>
    <w:p w14:paraId="4CBFD6A3" w14:textId="77777777" w:rsidR="00296606" w:rsidRPr="00EA4198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4. ԵԱՏՄ Պայմանագրի «Տեխնիկական կանոնակարգում» Х-րդ բաժնի «Հավատարմագրում» 54-րդ հոդված 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</w:p>
    <w:p w14:paraId="769A14A3" w14:textId="77777777" w:rsidR="00296606" w:rsidRPr="00EA4198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5. Համաշխարհային Բանկի «Առևտրի խթանման և որակի ենթակառուցվածքի» ծրագրի ՏԿՑ 14. «ISO/IEC 17025»-ի համաձայն լաբորատորիաների փորձարկման նպատակով ՀԱՄ-ի կողմից ՓՃՊ-ի կամ ԲՃՊ-ի ձեռքբերում»։</w:t>
      </w:r>
    </w:p>
    <w:p w14:paraId="1016A0DC" w14:textId="77777777" w:rsidR="00296606" w:rsidRDefault="00296606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Ծրագրի իրականացման հիմնական նպատակներն են՝ Հավատարմագրման ազգային մարմնի միջազգային ճանաչմանն ուղղված բազմակողմ ճանաչման համաձայնագրերի կնքումը տարածաշրջանային և միջազգային հավատարմագրման կազմակերպությունների հետ (ԵԱՏՄ, EA, ILAC, IAF), որը նախադրյալներ է ստեղծում առևտրում տեխնիկական խոչընդոտների վերացմանը, ապահովելու ապրանքների 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lastRenderedPageBreak/>
        <w:t xml:space="preserve">ազատ տեղաշարժը, բացառելու նույն ապրանքի կրկնակի փորձարկման և սերտիֆիկացման անհրաժեշտությունը, ինչպես նաև սպառողների վստահության բարձրացմանը: </w:t>
      </w:r>
    </w:p>
    <w:p w14:paraId="1EAB9ED8" w14:textId="77777777" w:rsidR="00EA4198" w:rsidRPr="00EA4198" w:rsidRDefault="00EA4198" w:rsidP="00EA4198">
      <w:pPr>
        <w:tabs>
          <w:tab w:val="left" w:pos="990"/>
        </w:tabs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</w:p>
    <w:p w14:paraId="2416E1A9" w14:textId="77777777" w:rsidR="00296606" w:rsidRPr="00EA4198" w:rsidRDefault="00296606" w:rsidP="00EA419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ՀՀ կառավարության 2021թ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 նոյեմբերի 18-ի N 1902-Լ որոշման հավելվածի «Էկոնոմիկայի նախարարություն» բաժնի 10-րդ կետով 2026թ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-ի համար սահմանվել է հետևյալ նպատակը՝ զբոսաշրջության զարգացում, տարեկան 2.5 մլն զբոսաշրջիկի այցելություն, 20 զբոսաշրջային կլաստերների զարգացում, 50 պատմամշակութային օբյեկտների վերականգնում։</w:t>
      </w:r>
    </w:p>
    <w:p w14:paraId="1CDBE7FD" w14:textId="77777777" w:rsidR="00296606" w:rsidRPr="00EA4198" w:rsidRDefault="00296606" w:rsidP="00EA4198">
      <w:pPr>
        <w:overflowPunct w:val="0"/>
        <w:autoSpaceDE w:val="0"/>
        <w:autoSpaceDN w:val="0"/>
        <w:adjustRightInd w:val="0"/>
        <w:spacing w:after="22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ՀՀ ԷՆ զբոսաշրջության կոմիտեի կողմից մշակվել և ՀՀ վարչապետի աշխատակազմ է ներկայացվել զբոսաշրջության զարգացման 5-ամյա ռազմավարությունը, որի թիրախային ցուցանիշներից է 2028թ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 ապահովել 4 միլիոն զբոսաշրջիկի այցելություն և զբոսաշրջիկների՝ 5 միլիարդ ԱՄՆ դոլարի ծախս։</w:t>
      </w:r>
    </w:p>
    <w:p w14:paraId="66282C49" w14:textId="77777777" w:rsidR="00296606" w:rsidRPr="00EA4198" w:rsidRDefault="00296606" w:rsidP="00EA4198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6207BF5C" w14:textId="77777777" w:rsidR="0011478F" w:rsidRPr="00EA4198" w:rsidRDefault="0011478F" w:rsidP="00EA41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ՈԼՈՐՏԱՅԻՆ ԾԱԽՍԱՅԻՆ ԾՐԱԳՐԵՐԸ ԵՎ ԾԱԽՍԱՅԻՆ ԳԵՐԱԿԱՅՈՒԹՅՈՒՆՆԵՐԸ </w:t>
      </w:r>
    </w:p>
    <w:p w14:paraId="5E2DE62A" w14:textId="77777777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Հայաստանի Հանրապետության գյուղատնտեսության ոլորտի տնտեսական զարգացումն ապահովող հիմնական ուղղությունների 2020-2030 թվականների ռազմավարությամբ սահմանված են յոթ հիմնական գերակայություններ՝ հողային բարեփոխում, արտահանման դիվերսիֆիկացում, առևտրայնացում և ավելացված արժեք, տեխնոլոգիական արդիականացում և նորարարություն, մարդկային կարողությունների և հմտությունների զարգացում, գյուղական զարգացում, ինստիտուցիոնալ կարողություններ։</w:t>
      </w:r>
    </w:p>
    <w:p w14:paraId="21E3CB73" w14:textId="64EE6997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202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GHEA Grapalat" w:hAnsi="GHEA Grapalat" w:cs="Sylfaen"/>
          <w:sz w:val="24"/>
          <w:szCs w:val="24"/>
          <w:lang w:val="af-ZA"/>
        </w:rPr>
        <w:t>-202</w:t>
      </w:r>
      <w:r w:rsidR="00FC5173" w:rsidRPr="00EA4198">
        <w:rPr>
          <w:rFonts w:ascii="GHEA Grapalat" w:hAnsi="GHEA Grapalat" w:cs="Sylfaen"/>
          <w:sz w:val="24"/>
          <w:szCs w:val="24"/>
          <w:lang w:val="hy-AM"/>
        </w:rPr>
        <w:t>7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թվականներին վարվող քաղաքականությունը կնպատակաուղղվի գյուղատնտեսության և նրան սպասար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կող ոլորտների գործունեության արդյունավետության բարձրացմանը, որի հիման վրա պայ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մաններ կստեղծվեն գյուղատնտեսության հետագա զարգացման և ընդլայնված վերարտա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>դրու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 xml:space="preserve">թյան կազմակերպման, գյուղացիական տնտեսությունների իրական եկամուտների ավելացման, հանրապետության պարենային ապահովության և պարենային անվտանգության մակարդակի բարձրացման համար։ </w:t>
      </w:r>
    </w:p>
    <w:p w14:paraId="3B00CDB9" w14:textId="1C9D078A" w:rsidR="009D2EC9" w:rsidRPr="00EA4198" w:rsidRDefault="009D2EC9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lastRenderedPageBreak/>
        <w:t>Նշված քաղաքականության իրականացման համար նախատեսվում է գյուղատնտեսության ոլորտում 202</w:t>
      </w:r>
      <w:r w:rsidR="0058232F" w:rsidRPr="00EA4198">
        <w:rPr>
          <w:rFonts w:ascii="GHEA Grapalat" w:hAnsi="GHEA Grapalat" w:cs="Sylfaen"/>
          <w:sz w:val="24"/>
          <w:szCs w:val="24"/>
          <w:lang w:val="hy-AM"/>
        </w:rPr>
        <w:t>5</w:t>
      </w:r>
      <w:r w:rsidRPr="00EA4198">
        <w:rPr>
          <w:rFonts w:ascii="GHEA Grapalat" w:hAnsi="GHEA Grapalat" w:cs="Sylfaen"/>
          <w:sz w:val="24"/>
          <w:szCs w:val="24"/>
          <w:lang w:val="af-ZA"/>
        </w:rPr>
        <w:t>-202</w:t>
      </w:r>
      <w:r w:rsidR="0058232F" w:rsidRPr="00EA4198">
        <w:rPr>
          <w:rFonts w:ascii="GHEA Grapalat" w:hAnsi="GHEA Grapalat" w:cs="Sylfaen"/>
          <w:sz w:val="24"/>
          <w:szCs w:val="24"/>
          <w:lang w:val="hy-AM"/>
        </w:rPr>
        <w:t>7</w:t>
      </w:r>
      <w:r w:rsidRPr="00EA4198">
        <w:rPr>
          <w:rFonts w:ascii="GHEA Grapalat" w:hAnsi="GHEA Grapalat" w:cs="Sylfaen"/>
          <w:sz w:val="24"/>
          <w:szCs w:val="24"/>
          <w:lang w:val="af-ZA"/>
        </w:rPr>
        <w:t xml:space="preserve"> թվականներին պետական բյուջեներով ծախսերը նպատակաուղղել հետևյալ գերակա ուղղություն</w:t>
      </w:r>
      <w:r w:rsidRPr="00EA4198">
        <w:rPr>
          <w:rFonts w:ascii="GHEA Grapalat" w:hAnsi="GHEA Grapalat" w:cs="Sylfaen"/>
          <w:sz w:val="24"/>
          <w:szCs w:val="24"/>
          <w:lang w:val="af-ZA"/>
        </w:rPr>
        <w:softHyphen/>
        <w:t xml:space="preserve">ներին. </w:t>
      </w:r>
    </w:p>
    <w:p w14:paraId="28E10EF8" w14:textId="77777777" w:rsidR="009D2EC9" w:rsidRPr="00EA4198" w:rsidRDefault="009D2EC9" w:rsidP="00EA4198">
      <w:pPr>
        <w:pStyle w:val="ListParagraph"/>
        <w:numPr>
          <w:ilvl w:val="0"/>
          <w:numId w:val="5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EA4198">
        <w:rPr>
          <w:rFonts w:ascii="GHEA Grapalat" w:hAnsi="GHEA Grapalat" w:cs="Sylfaen"/>
          <w:sz w:val="24"/>
          <w:szCs w:val="24"/>
          <w:lang w:val="hy-AM" w:eastAsia="x-none"/>
        </w:rPr>
        <w:t>գյուղատնտեսության խթանման ծրագրերի իրականացմանը,</w:t>
      </w:r>
    </w:p>
    <w:p w14:paraId="5D0814FC" w14:textId="77777777" w:rsidR="009D2EC9" w:rsidRPr="00EA4198" w:rsidRDefault="009D2EC9" w:rsidP="00EA4198">
      <w:pPr>
        <w:pStyle w:val="ListParagraph"/>
        <w:numPr>
          <w:ilvl w:val="0"/>
          <w:numId w:val="5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EA4198">
        <w:rPr>
          <w:rFonts w:ascii="GHEA Grapalat" w:hAnsi="GHEA Grapalat" w:cs="Sylfaen"/>
          <w:sz w:val="24"/>
          <w:szCs w:val="24"/>
          <w:lang w:val="hy-AM" w:eastAsia="x-none"/>
        </w:rPr>
        <w:t>գյուղատնտեսության արդիականացման ծրագրերի իրականացմանը,</w:t>
      </w:r>
    </w:p>
    <w:p w14:paraId="1A1A0009" w14:textId="77777777" w:rsidR="009D2EC9" w:rsidRPr="00EA4198" w:rsidRDefault="009D2EC9" w:rsidP="00EA4198">
      <w:pPr>
        <w:pStyle w:val="ListParagraph"/>
        <w:numPr>
          <w:ilvl w:val="0"/>
          <w:numId w:val="5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EA4198">
        <w:rPr>
          <w:rFonts w:ascii="GHEA Grapalat" w:hAnsi="GHEA Grapalat" w:cs="Sylfaen"/>
          <w:sz w:val="24"/>
          <w:szCs w:val="24"/>
          <w:lang w:val="hy-AM" w:eastAsia="x-none"/>
        </w:rPr>
        <w:t>անասնաբուժական ծառայությունների մատուցմանը,</w:t>
      </w:r>
    </w:p>
    <w:p w14:paraId="72800FBD" w14:textId="77777777" w:rsidR="009D2EC9" w:rsidRPr="00EA4198" w:rsidRDefault="009D2EC9" w:rsidP="00EA4198">
      <w:pPr>
        <w:pStyle w:val="ListParagraph"/>
        <w:numPr>
          <w:ilvl w:val="0"/>
          <w:numId w:val="5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EA4198">
        <w:rPr>
          <w:rFonts w:ascii="GHEA Grapalat" w:hAnsi="GHEA Grapalat" w:cs="Sylfaen"/>
          <w:sz w:val="24"/>
          <w:szCs w:val="24"/>
          <w:lang w:val="hy-AM" w:eastAsia="x-none"/>
        </w:rPr>
        <w:t>բուսաբուծության խթանման և բույսերի պաշտպանության ծրագրերի իրականացմանը,</w:t>
      </w:r>
    </w:p>
    <w:p w14:paraId="35E8C7E3" w14:textId="77777777" w:rsidR="009D2EC9" w:rsidRPr="00EA4198" w:rsidRDefault="009D2EC9" w:rsidP="00EA4198">
      <w:pPr>
        <w:pStyle w:val="ListParagraph"/>
        <w:numPr>
          <w:ilvl w:val="0"/>
          <w:numId w:val="5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  <w:r w:rsidRPr="00EA4198">
        <w:rPr>
          <w:rFonts w:ascii="GHEA Grapalat" w:hAnsi="GHEA Grapalat" w:cs="Sylfaen"/>
          <w:sz w:val="24"/>
          <w:szCs w:val="24"/>
          <w:lang w:val="hy-AM" w:eastAsia="x-none"/>
        </w:rPr>
        <w:t>գյուղական ենթակառուցվածքների վերականգնման և զարգացման, գյուղական ֆինանսավորման աջակցության ծրագրերի իրականացմանը։</w:t>
      </w:r>
    </w:p>
    <w:p w14:paraId="0DA2EBFE" w14:textId="77777777" w:rsidR="00EE33DD" w:rsidRPr="00EA4198" w:rsidRDefault="00EE33DD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</w:p>
    <w:p w14:paraId="415BB309" w14:textId="3FFDA8FE" w:rsidR="00296606" w:rsidRPr="00EA4198" w:rsidRDefault="00296606" w:rsidP="00EA4198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ՓՄՁ ոլորտում ն</w:t>
      </w: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ախատեսվում են իրականացնել հետևյալ միջոցառումները</w:t>
      </w:r>
      <w:r w:rsidRPr="00EA4198">
        <w:rPr>
          <w:rFonts w:ascii="Cambria Math" w:eastAsiaTheme="minorEastAsia" w:hAnsi="Cambria Math" w:cs="Cambria Math"/>
          <w:sz w:val="24"/>
          <w:szCs w:val="24"/>
          <w:lang w:val="hy-AM" w:eastAsia="x-none"/>
        </w:rPr>
        <w:t>․</w:t>
      </w:r>
    </w:p>
    <w:p w14:paraId="75F03490" w14:textId="77777777" w:rsidR="00296606" w:rsidRPr="00EA4198" w:rsidRDefault="00296606" w:rsidP="00EA4198">
      <w:pPr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1104-11001 «ՓՄՁ-ի սուբյեկտներին աջակցության ծրագրերի համակարգում և կառավարում»</w:t>
      </w:r>
    </w:p>
    <w:p w14:paraId="1B1D5F6B" w14:textId="77777777" w:rsidR="00296606" w:rsidRPr="00EA4198" w:rsidRDefault="00296606" w:rsidP="00EA4198">
      <w:pPr>
        <w:overflowPunct w:val="0"/>
        <w:autoSpaceDE w:val="0"/>
        <w:autoSpaceDN w:val="0"/>
        <w:adjustRightInd w:val="0"/>
        <w:spacing w:after="0"/>
        <w:ind w:firstLine="270"/>
        <w:jc w:val="both"/>
        <w:textAlignment w:val="baseline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 xml:space="preserve">Նկարագրություն՝ Ֆինանսական և ներդրումային, գործարար ուսուցողական, տեղեկատվական, խորհրդատվական աջակցություն գործող և սկսնակ ՓՄՁ սուբյեկտներին </w:t>
      </w:r>
    </w:p>
    <w:p w14:paraId="50E23CF3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1104-11002 «Բարձր որակավորում ունեցող մասնագետների ներգրավման նպատակով տնտեսավարողներին աջակցություն»</w:t>
      </w:r>
    </w:p>
    <w:p w14:paraId="12490F25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Նկարագրություն՝ Հայաստանի Հանրապետության տարածքում գործող ընկերությունների արտադրողականության բարձրացման նպատակով բարձր որոկովորում ունեցող մասնագետների ներգրավմանը աջակցություն</w:t>
      </w:r>
    </w:p>
    <w:p w14:paraId="17D6C241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1104-11005 «Մասնագիտական կարողությունների զարգացման նպատակով շահառուներին պետական աջակցություն»</w:t>
      </w:r>
    </w:p>
    <w:p w14:paraId="24E6F9DA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Նկարագրություն՝ Շահառուների՛ առցանց, համակցված (առցանց և առկա բաղադրիչներով), կամ առկա եղանակով որակավորման կամ վերաորակավորման դասընթացների մասնակցության վճարի փոխհատուցում</w:t>
      </w:r>
    </w:p>
    <w:p w14:paraId="4C0BE98D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1104-12001 «Տնտեսության արդիականացման միջոցառմանը պետական աջակցություն»</w:t>
      </w:r>
    </w:p>
    <w:p w14:paraId="000B9966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Նկարագրություն՝ Արտադրական հնարավորությունների արդիականացման և նոր տեխնոլոգիաների ներմուծման խթանման նպատակով մատչելի պայմաններով վարկերի տրամադրում</w:t>
      </w:r>
    </w:p>
    <w:p w14:paraId="580882FE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1104-12003 «Սկսնակ և փոքր բիզնեսին արտոնյալ պայմաններով վարկավորման տրամադրում»</w:t>
      </w:r>
    </w:p>
    <w:p w14:paraId="5996392B" w14:textId="77777777" w:rsidR="00296606" w:rsidRPr="00EA4198" w:rsidRDefault="00296606" w:rsidP="00EA4198">
      <w:pPr>
        <w:pStyle w:val="Text"/>
        <w:spacing w:after="0"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lastRenderedPageBreak/>
        <w:t>Նկարագրություն՝ Սկսնակ և փոքր բիզնեսին արտոնյալ պայմաններով վարկավորման տրամադրում՛ վարկերի տարեկան տոկոսադրույքի սուբսիդավորման եղանակով</w:t>
      </w:r>
    </w:p>
    <w:p w14:paraId="2F1054B2" w14:textId="77777777" w:rsidR="00EE33DD" w:rsidRPr="00EA4198" w:rsidRDefault="00EE33DD" w:rsidP="00EA4198">
      <w:pPr>
        <w:pStyle w:val="ListParagraph"/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</w:p>
    <w:p w14:paraId="77F1190F" w14:textId="77777777" w:rsidR="00B4497E" w:rsidRPr="00EA4198" w:rsidRDefault="00296606" w:rsidP="00EA4198">
      <w:pPr>
        <w:pStyle w:val="ListParagraph"/>
        <w:numPr>
          <w:ilvl w:val="0"/>
          <w:numId w:val="11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  <w:t>Ոլորտային քաղաքականության նպատակների և թիրախների ապահովման համար ՄԺԾԾ ժամանակահատվածում «Հավատարմագրման ազգային մարմին» ՊՈԱԿ-ին տրամադրվող գումարն ուղղվելու է հավատարմագրման ազգային համակարգի զարգացմանը, հավատարմագրման ոլորտում միջազգային և տարածաշրջանային հավատարմագրման համակարգերին ինտեգրմանը, Եվրոպական հավատարմագրման կազմակերպության (EA) կողմից հավատարմագրման ազգային մարմնի գնահատմանը:</w:t>
      </w:r>
    </w:p>
    <w:p w14:paraId="020587DF" w14:textId="77777777" w:rsidR="00B4497E" w:rsidRPr="00EA4198" w:rsidRDefault="00B4497E" w:rsidP="00EA4198">
      <w:pPr>
        <w:pStyle w:val="ListParagraph"/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</w:p>
    <w:p w14:paraId="68D830BF" w14:textId="4EED12A5" w:rsidR="00B4497E" w:rsidRPr="00EA4198" w:rsidRDefault="00B4497E" w:rsidP="00EA4198">
      <w:pPr>
        <w:pStyle w:val="ListParagraph"/>
        <w:numPr>
          <w:ilvl w:val="0"/>
          <w:numId w:val="11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Զբոսաշրջության ոլորտում սահմանված թիրախների ապահովման նպատակով 2025-2027թթ</w:t>
      </w:r>
      <w:r w:rsidRPr="00EA4198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նախատեսված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են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հետևյալ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ծրագրերը՝</w:t>
      </w:r>
    </w:p>
    <w:p w14:paraId="48D2EB8C" w14:textId="77777777" w:rsidR="00B4497E" w:rsidRPr="00EA4198" w:rsidRDefault="00B4497E" w:rsidP="00EA4198">
      <w:pPr>
        <w:pStyle w:val="Text"/>
        <w:spacing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1</w:t>
      </w:r>
      <w:r w:rsidRPr="00EA4198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Աջակցություն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զբոսաշրջության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զարգացմանը</w:t>
      </w:r>
    </w:p>
    <w:p w14:paraId="5EA343BB" w14:textId="77777777" w:rsidR="00B4497E" w:rsidRPr="00EA4198" w:rsidRDefault="00B4497E" w:rsidP="00EA4198">
      <w:pPr>
        <w:pStyle w:val="Text"/>
        <w:spacing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2</w:t>
      </w:r>
      <w:r w:rsidRPr="00EA4198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Տեղական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տնտեսության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և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ենթակառուցվա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>ծքների ծրագիր</w:t>
      </w:r>
    </w:p>
    <w:p w14:paraId="386A5006" w14:textId="77777777" w:rsidR="00B4497E" w:rsidRPr="00EA4198" w:rsidRDefault="00B4497E" w:rsidP="00EA4198">
      <w:pPr>
        <w:pStyle w:val="Text"/>
        <w:spacing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/>
          <w:sz w:val="24"/>
          <w:szCs w:val="24"/>
          <w:lang w:val="hy-AM" w:eastAsia="x-none"/>
        </w:rPr>
        <w:t>3</w:t>
      </w:r>
      <w:r w:rsidRPr="00EA4198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Զբոսաշրջության և ենթակառուցվածքների բարելավման ծրագիր</w:t>
      </w:r>
    </w:p>
    <w:p w14:paraId="618CD004" w14:textId="77777777" w:rsidR="00B4497E" w:rsidRPr="00EA4198" w:rsidRDefault="00B4497E" w:rsidP="00EA4198">
      <w:pPr>
        <w:pStyle w:val="Text"/>
        <w:spacing w:line="276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«Աջակցություն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զբոսաշրջության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EA4198">
        <w:rPr>
          <w:rFonts w:ascii="GHEA Grapalat" w:hAnsi="GHEA Grapalat" w:cs="GHEA Grapalat"/>
          <w:sz w:val="24"/>
          <w:szCs w:val="24"/>
          <w:lang w:val="hy-AM" w:eastAsia="x-none"/>
        </w:rPr>
        <w:t>զարգացմանը»</w:t>
      </w:r>
      <w:r w:rsidRPr="00EA4198">
        <w:rPr>
          <w:rFonts w:ascii="GHEA Grapalat" w:hAnsi="GHEA Grapalat"/>
          <w:sz w:val="24"/>
          <w:szCs w:val="24"/>
          <w:lang w:val="hy-AM" w:eastAsia="x-none"/>
        </w:rPr>
        <w:t xml:space="preserve"> ծրագրով նախատեսված գերակայություններն են՝ </w:t>
      </w:r>
    </w:p>
    <w:p w14:paraId="7215217C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1)  Զբոսաշրջության ոլորտի մարքեթինգային և խթանման գործընթաց, ծախսը՝ 1,570 միլիոն դրամ</w:t>
      </w:r>
    </w:p>
    <w:p w14:paraId="2FB291CD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2) Հայկական  զբոսաշրջային արդյունքի դիվերսիֆիկացում, փաթեթավորում եվ խթանում, ծախսը՝ 341 միլիոն դրամ,</w:t>
      </w:r>
    </w:p>
    <w:p w14:paraId="709033C5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3)  Միջազգային համագործակցություն, ծախսը՝ 200 միլիոն դրամ,</w:t>
      </w:r>
    </w:p>
    <w:p w14:paraId="671F05A6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4) Ենթակառուցվածների եվ մարդկային ռեսուրսների զարգացում, ծախսը՝ 165 միլիոն դրամ,</w:t>
      </w:r>
    </w:p>
    <w:p w14:paraId="2C289F87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5) Զբոսաշրջության ոլորտի ինստիտուցիոնալ բարեփոխումներ, ծախսը՝ 24 միլիոն դրամ։</w:t>
      </w:r>
    </w:p>
    <w:p w14:paraId="2D7CB8F0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24CFA030" w14:textId="77777777" w:rsidR="00B4497E" w:rsidRPr="00EA4198" w:rsidRDefault="00B4497E" w:rsidP="00EA4198">
      <w:pPr>
        <w:pStyle w:val="ListParagraph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EA4198">
        <w:rPr>
          <w:rFonts w:ascii="GHEA Grapalat" w:hAnsi="GHEA Grapalat"/>
          <w:sz w:val="24"/>
          <w:szCs w:val="24"/>
          <w:lang w:val="hy-AM"/>
        </w:rPr>
        <w:t>«Զբոսաշրջության և ենթակառուցվածքների բարելավման» ծրագրով նախատեսված գերակայություններն են՝</w:t>
      </w:r>
    </w:p>
    <w:p w14:paraId="4C41127A" w14:textId="77777777" w:rsidR="00B4497E" w:rsidRPr="00EA4198" w:rsidRDefault="00B4497E" w:rsidP="00EA4198">
      <w:pPr>
        <w:pStyle w:val="ListParagraph"/>
        <w:numPr>
          <w:ilvl w:val="0"/>
          <w:numId w:val="14"/>
        </w:numPr>
        <w:spacing w:after="0"/>
        <w:ind w:left="0" w:firstLine="270"/>
        <w:contextualSpacing w:val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Զբոսաշրջային կլաստերների հայեցակարգեր/Գոտիավորման պլան ազգային, տարածաշրջանային և տեղական զարգացման ծրագրերին համապատասխան, ծախսը՝ 2</w:t>
      </w:r>
      <w:r w:rsidRPr="00EA419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000 միլիոն դրամ</w:t>
      </w:r>
    </w:p>
    <w:p w14:paraId="776E9F45" w14:textId="77777777" w:rsidR="00B4497E" w:rsidRPr="00EA4198" w:rsidRDefault="00B4497E" w:rsidP="00EA4198">
      <w:pPr>
        <w:pStyle w:val="ListParagraph"/>
        <w:numPr>
          <w:ilvl w:val="0"/>
          <w:numId w:val="14"/>
        </w:numPr>
        <w:spacing w:after="0"/>
        <w:ind w:left="0" w:firstLine="270"/>
        <w:contextualSpacing w:val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Պատմամշակութային հուշարձանների վերականգնում, ծախսը՝ 2</w:t>
      </w:r>
      <w:r w:rsidRPr="00EA419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200 միլիոն դրամ,</w:t>
      </w:r>
    </w:p>
    <w:p w14:paraId="69E108CF" w14:textId="77777777" w:rsidR="00B4497E" w:rsidRPr="00EA4198" w:rsidRDefault="00B4497E" w:rsidP="00EA4198">
      <w:pPr>
        <w:pStyle w:val="ListParagraph"/>
        <w:numPr>
          <w:ilvl w:val="0"/>
          <w:numId w:val="14"/>
        </w:numPr>
        <w:spacing w:after="0"/>
        <w:ind w:left="0" w:firstLine="270"/>
        <w:contextualSpacing w:val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Զբոսաշրջային կենտրոնի կառավարման համակարգի ներդրում (գերատեսչությունների պատասխանատվությունների և պարտականությունների հստակեցում), ծախսը՝ 300 միլիոն դրամ,</w:t>
      </w:r>
    </w:p>
    <w:p w14:paraId="791BD905" w14:textId="77777777" w:rsidR="00B4497E" w:rsidRPr="00EA4198" w:rsidRDefault="00B4497E" w:rsidP="00EA4198">
      <w:pPr>
        <w:pStyle w:val="ListParagraph"/>
        <w:numPr>
          <w:ilvl w:val="0"/>
          <w:numId w:val="14"/>
        </w:numPr>
        <w:spacing w:after="0"/>
        <w:ind w:left="0" w:firstLine="270"/>
        <w:contextualSpacing w:val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A4198">
        <w:rPr>
          <w:rFonts w:ascii="GHEA Grapalat" w:eastAsia="Times New Roman" w:hAnsi="GHEA Grapalat" w:cs="GHEA Grapalat"/>
          <w:sz w:val="24"/>
          <w:szCs w:val="24"/>
          <w:lang w:val="hy-AM"/>
        </w:rPr>
        <w:t>Զբոսաշրջային օբյեկտներում զբոսաշրջային առաջարկի բովանդակային հագեցում, ներառյալ գաստրո ու մշակութային փառատոների և այլ միջոցառումների սատարմամբ, ծախսը՝ 500 միլոն դրամ։</w:t>
      </w:r>
    </w:p>
    <w:p w14:paraId="68DB98EB" w14:textId="77777777" w:rsidR="00296606" w:rsidRPr="00EA4198" w:rsidRDefault="00296606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</w:p>
    <w:p w14:paraId="6207BF62" w14:textId="77777777" w:rsidR="0011478F" w:rsidRPr="00EA4198" w:rsidRDefault="0011478F" w:rsidP="00EA41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ind w:left="0" w:firstLine="270"/>
        <w:jc w:val="both"/>
        <w:textAlignment w:val="baseline"/>
        <w:rPr>
          <w:rFonts w:ascii="GHEA Grapalat" w:eastAsiaTheme="minorEastAsia" w:hAnsi="GHEA Grapalat" w:cs="Times New Roman"/>
          <w:sz w:val="24"/>
          <w:szCs w:val="24"/>
          <w:lang w:eastAsia="x-none"/>
        </w:rPr>
      </w:pPr>
      <w:r w:rsidRPr="00EA4198">
        <w:rPr>
          <w:rFonts w:ascii="GHEA Grapalat" w:eastAsiaTheme="minorEastAsia" w:hAnsi="GHEA Grapalat" w:cs="Times New Roman"/>
          <w:sz w:val="24"/>
          <w:szCs w:val="24"/>
          <w:lang w:eastAsia="x-none"/>
        </w:rPr>
        <w:t xml:space="preserve">ՈԼՈՐՏԱՅԻՆ ԾԱԽՍԵՐԻ ԳՆԱՀԱՏԱԿԱՆԸ </w:t>
      </w:r>
    </w:p>
    <w:p w14:paraId="6207BF63" w14:textId="38F97F10" w:rsidR="0011478F" w:rsidRPr="00EA4198" w:rsidRDefault="00EA4198" w:rsidP="00EA4198">
      <w:pPr>
        <w:spacing w:after="0"/>
        <w:ind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4198">
        <w:rPr>
          <w:rFonts w:ascii="GHEA Grapalat" w:hAnsi="GHEA Grapalat" w:cs="Sylfaen"/>
          <w:sz w:val="24"/>
          <w:szCs w:val="24"/>
          <w:lang w:val="af-ZA"/>
        </w:rPr>
        <w:t>Ծախսերի գնահատականները ներկայացվում են կից հավելվածներում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11478F" w:rsidRPr="00EA41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02AC" w14:textId="77777777" w:rsidR="006821F1" w:rsidRDefault="006821F1" w:rsidP="0011478F">
      <w:pPr>
        <w:spacing w:after="0" w:line="240" w:lineRule="auto"/>
      </w:pPr>
      <w:r>
        <w:separator/>
      </w:r>
    </w:p>
  </w:endnote>
  <w:endnote w:type="continuationSeparator" w:id="0">
    <w:p w14:paraId="05A34699" w14:textId="77777777" w:rsidR="006821F1" w:rsidRDefault="006821F1" w:rsidP="001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FD19" w14:textId="77777777" w:rsidR="006821F1" w:rsidRDefault="006821F1" w:rsidP="0011478F">
      <w:pPr>
        <w:spacing w:after="0" w:line="240" w:lineRule="auto"/>
      </w:pPr>
      <w:r>
        <w:separator/>
      </w:r>
    </w:p>
  </w:footnote>
  <w:footnote w:type="continuationSeparator" w:id="0">
    <w:p w14:paraId="002BA3BF" w14:textId="77777777" w:rsidR="006821F1" w:rsidRDefault="006821F1" w:rsidP="0011478F">
      <w:pPr>
        <w:spacing w:after="0" w:line="240" w:lineRule="auto"/>
      </w:pPr>
      <w:r>
        <w:continuationSeparator/>
      </w:r>
    </w:p>
  </w:footnote>
  <w:footnote w:id="1">
    <w:p w14:paraId="6207BF68" w14:textId="77777777" w:rsidR="0011478F" w:rsidRPr="000D0448" w:rsidRDefault="0011478F" w:rsidP="0011478F">
      <w:pPr>
        <w:pStyle w:val="FootnoteText"/>
      </w:pPr>
      <w:r>
        <w:rPr>
          <w:rStyle w:val="FootnoteReference"/>
        </w:rPr>
        <w:footnoteRef/>
      </w:r>
      <w:r w:rsidRPr="000D0448">
        <w:t xml:space="preserve"> </w:t>
      </w:r>
      <w:proofErr w:type="spellStart"/>
      <w:r w:rsidRPr="000D0448">
        <w:t>Ոլորտային</w:t>
      </w:r>
      <w:proofErr w:type="spellEnd"/>
      <w:r w:rsidRPr="000D0448">
        <w:t xml:space="preserve"> </w:t>
      </w:r>
      <w:proofErr w:type="spellStart"/>
      <w:r w:rsidRPr="000D0448">
        <w:t>քաղաքականության</w:t>
      </w:r>
      <w:proofErr w:type="spellEnd"/>
      <w:r w:rsidRPr="000D0448">
        <w:t xml:space="preserve"> </w:t>
      </w:r>
      <w:proofErr w:type="spellStart"/>
      <w:r w:rsidRPr="000D0448">
        <w:t>ողջ</w:t>
      </w:r>
      <w:proofErr w:type="spellEnd"/>
      <w:r w:rsidRPr="000D0448">
        <w:t xml:space="preserve"> </w:t>
      </w:r>
      <w:proofErr w:type="spellStart"/>
      <w:r w:rsidRPr="000D0448">
        <w:t>համառոտ</w:t>
      </w:r>
      <w:proofErr w:type="spellEnd"/>
      <w:r w:rsidRPr="000D0448">
        <w:t xml:space="preserve"> </w:t>
      </w:r>
      <w:proofErr w:type="spellStart"/>
      <w:r w:rsidRPr="000D0448">
        <w:t>շարադրանքը</w:t>
      </w:r>
      <w:proofErr w:type="spellEnd"/>
      <w:r w:rsidRPr="000D0448">
        <w:t xml:space="preserve"> </w:t>
      </w:r>
      <w:proofErr w:type="spellStart"/>
      <w:r w:rsidRPr="000D0448">
        <w:t>չպետք</w:t>
      </w:r>
      <w:proofErr w:type="spellEnd"/>
      <w:r w:rsidRPr="000D0448">
        <w:t xml:space="preserve"> է </w:t>
      </w:r>
      <w:proofErr w:type="spellStart"/>
      <w:r w:rsidRPr="000D0448">
        <w:t>գերազանցի</w:t>
      </w:r>
      <w:proofErr w:type="spellEnd"/>
      <w:r w:rsidRPr="000D0448">
        <w:t xml:space="preserve"> 6 </w:t>
      </w:r>
      <w:proofErr w:type="spellStart"/>
      <w:r w:rsidRPr="000D0448">
        <w:t>էջի</w:t>
      </w:r>
      <w:proofErr w:type="spellEnd"/>
      <w:r w:rsidRPr="000D0448">
        <w:t xml:space="preserve"> </w:t>
      </w:r>
      <w:proofErr w:type="spellStart"/>
      <w:r w:rsidRPr="000D0448">
        <w:t>սահմանները</w:t>
      </w:r>
      <w:proofErr w:type="spellEnd"/>
      <w:r w:rsidRPr="000D0448"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E829" w14:textId="7B37A888" w:rsidR="00A107F3" w:rsidRPr="00C24E65" w:rsidRDefault="00A107F3" w:rsidP="00A107F3">
    <w:pPr>
      <w:pStyle w:val="Header"/>
      <w:tabs>
        <w:tab w:val="left" w:pos="5130"/>
      </w:tabs>
      <w:jc w:val="right"/>
      <w:rPr>
        <w:rFonts w:ascii="GHEA Grapalat" w:hAnsi="GHEA Grapalat"/>
        <w:i/>
        <w:iCs/>
        <w:color w:val="002060"/>
        <w:sz w:val="18"/>
        <w:szCs w:val="18"/>
        <w:lang w:val="ru-RU"/>
      </w:rPr>
    </w:pP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 w:rsidR="007C77D1">
      <w:rPr>
        <w:rFonts w:ascii="GHEA Grapalat" w:hAnsi="GHEA Grapalat"/>
        <w:i/>
        <w:iCs/>
        <w:color w:val="002060"/>
        <w:sz w:val="18"/>
        <w:szCs w:val="18"/>
      </w:rPr>
      <w:t>5</w:t>
    </w: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-202</w:t>
    </w:r>
    <w:r w:rsidR="007C77D1">
      <w:rPr>
        <w:rFonts w:ascii="GHEA Grapalat" w:hAnsi="GHEA Grapalat"/>
        <w:i/>
        <w:iCs/>
        <w:color w:val="002060"/>
        <w:sz w:val="18"/>
        <w:szCs w:val="18"/>
      </w:rPr>
      <w:t>7</w:t>
    </w: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թթ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ՄԺԾԾ և </w:t>
    </w:r>
    <w:r w:rsidR="006751C7"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ՀՀ </w:t>
    </w: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 w:rsidR="007C77D1">
      <w:rPr>
        <w:rFonts w:ascii="GHEA Grapalat" w:hAnsi="GHEA Grapalat"/>
        <w:i/>
        <w:iCs/>
        <w:color w:val="002060"/>
        <w:sz w:val="18"/>
        <w:szCs w:val="18"/>
      </w:rPr>
      <w:t>5</w:t>
    </w:r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թ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բյուջեի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նախագծերի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մշակման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բ</w:t>
    </w:r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յուջետային հայտերի կազմման և ներկայացման մեթոդական ցուցումներ</w:t>
    </w:r>
  </w:p>
  <w:p w14:paraId="053F1FB4" w14:textId="77777777" w:rsidR="00A107F3" w:rsidRPr="00C24E65" w:rsidRDefault="00A107F3" w:rsidP="00A107F3">
    <w:pPr>
      <w:pStyle w:val="Header"/>
      <w:rPr>
        <w:rFonts w:ascii="GHEA Grapalat" w:hAnsi="GHEA Grapalat"/>
        <w:i/>
        <w:iCs/>
        <w:sz w:val="18"/>
        <w:szCs w:val="18"/>
        <w:lang w:val="ru-RU"/>
      </w:rPr>
    </w:pPr>
    <w:r>
      <w:rPr>
        <w:rFonts w:ascii="GHEA Grapalat" w:hAnsi="GHEA Grapalat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FE659" wp14:editId="3424D9BF">
              <wp:simplePos x="0" y="0"/>
              <wp:positionH relativeFrom="column">
                <wp:posOffset>33051</wp:posOffset>
              </wp:positionH>
              <wp:positionV relativeFrom="paragraph">
                <wp:posOffset>12861</wp:posOffset>
              </wp:positionV>
              <wp:extent cx="570673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73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9D2F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pt" to="4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" strokecolor="#002060" strokeweight="1pt"/>
          </w:pict>
        </mc:Fallback>
      </mc:AlternateContent>
    </w:r>
  </w:p>
  <w:p w14:paraId="384FDC92" w14:textId="77777777" w:rsidR="00A107F3" w:rsidRPr="00A107F3" w:rsidRDefault="00A107F3" w:rsidP="00A10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58AD"/>
    <w:multiLevelType w:val="hybridMultilevel"/>
    <w:tmpl w:val="7B1666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76946"/>
    <w:multiLevelType w:val="hybridMultilevel"/>
    <w:tmpl w:val="056A3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7EE4"/>
    <w:multiLevelType w:val="hybridMultilevel"/>
    <w:tmpl w:val="9FE00446"/>
    <w:lvl w:ilvl="0" w:tplc="BE22C89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59F"/>
    <w:multiLevelType w:val="hybridMultilevel"/>
    <w:tmpl w:val="649629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9931B24"/>
    <w:multiLevelType w:val="hybridMultilevel"/>
    <w:tmpl w:val="F0FCBE86"/>
    <w:lvl w:ilvl="0" w:tplc="933CC8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GHEA Grapala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A1192"/>
    <w:multiLevelType w:val="hybridMultilevel"/>
    <w:tmpl w:val="45100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6C52"/>
    <w:multiLevelType w:val="hybridMultilevel"/>
    <w:tmpl w:val="E9726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10F7B"/>
    <w:multiLevelType w:val="hybridMultilevel"/>
    <w:tmpl w:val="2BF23526"/>
    <w:lvl w:ilvl="0" w:tplc="9C5059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8C5777"/>
    <w:multiLevelType w:val="hybridMultilevel"/>
    <w:tmpl w:val="911C8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030D1"/>
    <w:multiLevelType w:val="hybridMultilevel"/>
    <w:tmpl w:val="192E54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4712B"/>
    <w:multiLevelType w:val="hybridMultilevel"/>
    <w:tmpl w:val="7952D2D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E6F3E28"/>
    <w:multiLevelType w:val="hybridMultilevel"/>
    <w:tmpl w:val="8228DE2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3B41C9"/>
    <w:multiLevelType w:val="hybridMultilevel"/>
    <w:tmpl w:val="1C681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5400">
    <w:abstractNumId w:val="9"/>
  </w:num>
  <w:num w:numId="2" w16cid:durableId="1736932173">
    <w:abstractNumId w:val="12"/>
  </w:num>
  <w:num w:numId="3" w16cid:durableId="729234815">
    <w:abstractNumId w:val="8"/>
  </w:num>
  <w:num w:numId="4" w16cid:durableId="995113456">
    <w:abstractNumId w:val="1"/>
  </w:num>
  <w:num w:numId="5" w16cid:durableId="1676376227">
    <w:abstractNumId w:val="6"/>
  </w:num>
  <w:num w:numId="6" w16cid:durableId="1685865276">
    <w:abstractNumId w:val="3"/>
  </w:num>
  <w:num w:numId="7" w16cid:durableId="1889947527">
    <w:abstractNumId w:val="11"/>
  </w:num>
  <w:num w:numId="8" w16cid:durableId="1727988333">
    <w:abstractNumId w:val="5"/>
  </w:num>
  <w:num w:numId="9" w16cid:durableId="1029716824">
    <w:abstractNumId w:val="0"/>
  </w:num>
  <w:num w:numId="10" w16cid:durableId="1670786059">
    <w:abstractNumId w:val="2"/>
  </w:num>
  <w:num w:numId="11" w16cid:durableId="1070539250">
    <w:abstractNumId w:val="13"/>
  </w:num>
  <w:num w:numId="12" w16cid:durableId="19478323">
    <w:abstractNumId w:val="4"/>
  </w:num>
  <w:num w:numId="13" w16cid:durableId="639043826">
    <w:abstractNumId w:val="10"/>
  </w:num>
  <w:num w:numId="14" w16cid:durableId="762146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wMzUwNzU2NjIFspV0lIJTi4sz8/NACoxqASoBiwMsAAAA"/>
  </w:docVars>
  <w:rsids>
    <w:rsidRoot w:val="0011478F"/>
    <w:rsid w:val="00054601"/>
    <w:rsid w:val="00061B50"/>
    <w:rsid w:val="0006483A"/>
    <w:rsid w:val="000926EF"/>
    <w:rsid w:val="000E317F"/>
    <w:rsid w:val="001012E8"/>
    <w:rsid w:val="0011478F"/>
    <w:rsid w:val="00185991"/>
    <w:rsid w:val="002112FB"/>
    <w:rsid w:val="00284061"/>
    <w:rsid w:val="002918CB"/>
    <w:rsid w:val="00296606"/>
    <w:rsid w:val="002D54A2"/>
    <w:rsid w:val="002F74EB"/>
    <w:rsid w:val="0030629D"/>
    <w:rsid w:val="00316EFB"/>
    <w:rsid w:val="003F7136"/>
    <w:rsid w:val="0047360A"/>
    <w:rsid w:val="00567880"/>
    <w:rsid w:val="0058232F"/>
    <w:rsid w:val="006751C7"/>
    <w:rsid w:val="006821F1"/>
    <w:rsid w:val="00721F0F"/>
    <w:rsid w:val="0078530B"/>
    <w:rsid w:val="007C17BF"/>
    <w:rsid w:val="007C77D1"/>
    <w:rsid w:val="008173D4"/>
    <w:rsid w:val="0082556D"/>
    <w:rsid w:val="008277DD"/>
    <w:rsid w:val="008C1D31"/>
    <w:rsid w:val="008E3F17"/>
    <w:rsid w:val="00913429"/>
    <w:rsid w:val="00924B3B"/>
    <w:rsid w:val="00957025"/>
    <w:rsid w:val="009D2EC9"/>
    <w:rsid w:val="00A107F3"/>
    <w:rsid w:val="00AD16BA"/>
    <w:rsid w:val="00AF5DB9"/>
    <w:rsid w:val="00B4497E"/>
    <w:rsid w:val="00B809DF"/>
    <w:rsid w:val="00B8641E"/>
    <w:rsid w:val="00BC47C3"/>
    <w:rsid w:val="00C23417"/>
    <w:rsid w:val="00C4278C"/>
    <w:rsid w:val="00C55AEE"/>
    <w:rsid w:val="00CA33B4"/>
    <w:rsid w:val="00D14AD8"/>
    <w:rsid w:val="00D237A2"/>
    <w:rsid w:val="00DF6AEA"/>
    <w:rsid w:val="00E76974"/>
    <w:rsid w:val="00EA4198"/>
    <w:rsid w:val="00EA73D4"/>
    <w:rsid w:val="00EE33DD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BF54"/>
  <w15:docId w15:val="{5353922B-1267-497B-A3C8-98DFF9EA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4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78F"/>
    <w:rPr>
      <w:sz w:val="20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1478F"/>
    <w:rPr>
      <w:vertAlign w:val="superscript"/>
    </w:rPr>
  </w:style>
  <w:style w:type="paragraph" w:customStyle="1" w:styleId="Text">
    <w:name w:val="Text"/>
    <w:basedOn w:val="Normal"/>
    <w:rsid w:val="00B8641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F3"/>
  </w:style>
  <w:style w:type="paragraph" w:styleId="Footer">
    <w:name w:val="footer"/>
    <w:basedOn w:val="Normal"/>
    <w:link w:val="Foot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F3"/>
  </w:style>
  <w:style w:type="paragraph" w:styleId="NoSpacing">
    <w:name w:val="No Spacing"/>
    <w:uiPriority w:val="1"/>
    <w:qFormat/>
    <w:rsid w:val="00BC47C3"/>
    <w:pPr>
      <w:spacing w:after="0" w:line="240" w:lineRule="auto"/>
    </w:pPr>
  </w:style>
  <w:style w:type="paragraph" w:styleId="ListParagraph">
    <w:name w:val="List Paragraph"/>
    <w:aliases w:val="OBC Bullet,List Paragraph11,Normal numbered,Paragraphe de liste PBLH,Bullet paras,Liste 1,Table no. List Paragraph,Colorful List - Accent 11,PDP DOCUMENT SUBTITLE,Table of contents numbered,Elenco num ARGEA,body,Odsek zoznamu,Абзац списка"/>
    <w:basedOn w:val="Normal"/>
    <w:link w:val="ListParagraphChar"/>
    <w:uiPriority w:val="34"/>
    <w:qFormat/>
    <w:rsid w:val="000926EF"/>
    <w:pPr>
      <w:ind w:left="720"/>
      <w:contextualSpacing/>
    </w:pPr>
  </w:style>
  <w:style w:type="character" w:customStyle="1" w:styleId="ListParagraphChar">
    <w:name w:val="List Paragraph Char"/>
    <w:aliases w:val="OBC Bullet Char,List Paragraph11 Char,Normal numbered Char,Paragraphe de liste PBLH Char,Bullet paras Char,Liste 1 Char,Table no. List Paragraph Char,Colorful List - Accent 11 Char,PDP DOCUMENT SUBTITLE Char,Elenco num ARGEA Char"/>
    <w:link w:val="ListParagraph"/>
    <w:uiPriority w:val="34"/>
    <w:qFormat/>
    <w:rsid w:val="009D2EC9"/>
  </w:style>
  <w:style w:type="character" w:customStyle="1" w:styleId="mechtexChar">
    <w:name w:val="mechtex Char"/>
    <w:link w:val="mechtex"/>
    <w:locked/>
    <w:rsid w:val="00EE33D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EE33DD"/>
    <w:pPr>
      <w:spacing w:after="0" w:line="240" w:lineRule="auto"/>
      <w:jc w:val="center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296606"/>
    <w:pPr>
      <w:spacing w:after="0" w:line="360" w:lineRule="auto"/>
      <w:jc w:val="center"/>
    </w:pPr>
    <w:rPr>
      <w:rFonts w:ascii="Times Armenian" w:eastAsia="Times New Roman" w:hAnsi="Times Armenian" w:cs="Times New Roman"/>
      <w:b/>
      <w:bCs/>
      <w:sz w:val="32"/>
      <w:szCs w:val="24"/>
      <w:lang w:val="fr-FR" w:eastAsia="x-none"/>
    </w:rPr>
  </w:style>
  <w:style w:type="character" w:customStyle="1" w:styleId="BodyText2Char">
    <w:name w:val="Body Text 2 Char"/>
    <w:basedOn w:val="DefaultParagraphFont"/>
    <w:link w:val="BodyText2"/>
    <w:rsid w:val="00296606"/>
    <w:rPr>
      <w:rFonts w:ascii="Times Armenian" w:eastAsia="Times New Roman" w:hAnsi="Times Armenian" w:cs="Times New Roman"/>
      <w:b/>
      <w:bCs/>
      <w:sz w:val="32"/>
      <w:szCs w:val="24"/>
      <w:lang w:val="fr-FR" w:eastAsia="x-none"/>
    </w:rPr>
  </w:style>
  <w:style w:type="paragraph" w:styleId="BodyText">
    <w:name w:val="Body Text"/>
    <w:aliases w:val="(Main Text),date,Body Text (Main text)"/>
    <w:basedOn w:val="Normal"/>
    <w:link w:val="BodyTextChar"/>
    <w:rsid w:val="0029660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296606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Alisa H. Melkumyan</cp:lastModifiedBy>
  <cp:revision>2</cp:revision>
  <dcterms:created xsi:type="dcterms:W3CDTF">2024-03-25T10:55:00Z</dcterms:created>
  <dcterms:modified xsi:type="dcterms:W3CDTF">2024-03-25T10:55:00Z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92b568ccaf2c0731023823eb345e1ac98005ba7361e02b4dd14ab1b9bd62667c</vt:lpwstr>
  </property>
</Properties>
</file>