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EE828" w14:textId="1FAD4C05" w:rsidR="0017723D" w:rsidRPr="005D20F8" w:rsidRDefault="00831E29" w:rsidP="0017723D">
      <w:pPr>
        <w:pStyle w:val="CommentText"/>
        <w:spacing w:after="0" w:line="276" w:lineRule="auto"/>
        <w:contextualSpacing/>
        <w:jc w:val="right"/>
        <w:rPr>
          <w:rFonts w:ascii="GHEA Grapalat" w:hAnsi="GHEA Grapalat"/>
          <w:noProof/>
          <w:lang w:val="hy-AM"/>
        </w:rPr>
      </w:pPr>
      <w:r w:rsidRPr="005D20F8">
        <w:rPr>
          <w:rFonts w:ascii="GHEA Grapalat" w:hAnsi="GHEA Grapalat"/>
          <w:noProof/>
          <w:lang w:val="hy-AM"/>
        </w:rPr>
        <w:t xml:space="preserve">Հավելված </w:t>
      </w:r>
      <w:r w:rsidRPr="005D20F8">
        <w:rPr>
          <w:rFonts w:ascii="GHEA Grapalat" w:hAnsi="GHEA Grapalat"/>
          <w:noProof/>
        </w:rPr>
        <w:t>N</w:t>
      </w:r>
      <w:r w:rsidRPr="005D20F8">
        <w:rPr>
          <w:rFonts w:ascii="GHEA Grapalat" w:hAnsi="GHEA Grapalat"/>
          <w:noProof/>
          <w:lang w:val="hy-AM"/>
        </w:rPr>
        <w:t xml:space="preserve"> </w:t>
      </w:r>
      <w:r w:rsidR="008278E9">
        <w:rPr>
          <w:rFonts w:ascii="GHEA Grapalat" w:hAnsi="GHEA Grapalat"/>
          <w:noProof/>
          <w:lang w:val="hy-AM"/>
        </w:rPr>
        <w:t>3</w:t>
      </w:r>
    </w:p>
    <w:p w14:paraId="01ED125D" w14:textId="77777777" w:rsidR="0017723D" w:rsidRPr="005D20F8" w:rsidRDefault="0017723D" w:rsidP="0017723D">
      <w:pPr>
        <w:pStyle w:val="CommentText"/>
        <w:spacing w:after="0" w:line="276" w:lineRule="auto"/>
        <w:contextualSpacing/>
        <w:jc w:val="right"/>
        <w:rPr>
          <w:rFonts w:ascii="GHEA Grapalat" w:hAnsi="GHEA Grapalat"/>
          <w:noProof/>
          <w:lang w:val="hy-AM"/>
        </w:rPr>
      </w:pPr>
      <w:r w:rsidRPr="005D20F8">
        <w:rPr>
          <w:rFonts w:ascii="GHEA Grapalat" w:hAnsi="GHEA Grapalat"/>
          <w:noProof/>
          <w:lang w:val="hy-AM"/>
        </w:rPr>
        <w:t xml:space="preserve">Էկոնոմիկայի նախարարի </w:t>
      </w:r>
    </w:p>
    <w:p w14:paraId="7EE6265D" w14:textId="495A8B5A" w:rsidR="0017723D" w:rsidRPr="005D20F8" w:rsidRDefault="0017723D" w:rsidP="0017723D">
      <w:pPr>
        <w:pStyle w:val="CommentText"/>
        <w:spacing w:after="0" w:line="276" w:lineRule="auto"/>
        <w:contextualSpacing/>
        <w:jc w:val="right"/>
        <w:rPr>
          <w:rFonts w:ascii="GHEA Grapalat" w:hAnsi="GHEA Grapalat"/>
          <w:noProof/>
          <w:lang w:val="hy-AM"/>
        </w:rPr>
      </w:pPr>
      <w:r w:rsidRPr="005D20F8">
        <w:rPr>
          <w:rFonts w:ascii="GHEA Grapalat" w:hAnsi="GHEA Grapalat"/>
          <w:noProof/>
          <w:lang w:val="hy-AM"/>
        </w:rPr>
        <w:t>202</w:t>
      </w:r>
      <w:r w:rsidR="00831E29" w:rsidRPr="005D20F8">
        <w:rPr>
          <w:rFonts w:ascii="GHEA Grapalat" w:hAnsi="GHEA Grapalat"/>
          <w:noProof/>
          <w:lang w:val="hy-AM"/>
        </w:rPr>
        <w:t>4</w:t>
      </w:r>
      <w:r w:rsidRPr="005D20F8">
        <w:rPr>
          <w:rFonts w:ascii="GHEA Grapalat" w:hAnsi="GHEA Grapalat"/>
          <w:noProof/>
          <w:lang w:val="hy-AM"/>
        </w:rPr>
        <w:t xml:space="preserve"> թվականի</w:t>
      </w:r>
      <w:r w:rsidR="00520941">
        <w:rPr>
          <w:rFonts w:ascii="GHEA Grapalat" w:hAnsi="GHEA Grapalat"/>
          <w:noProof/>
          <w:lang w:val="hy-AM"/>
        </w:rPr>
        <w:t xml:space="preserve"> </w:t>
      </w:r>
      <w:r w:rsidR="007C1862">
        <w:rPr>
          <w:rFonts w:ascii="GHEA Grapalat" w:hAnsi="GHEA Grapalat"/>
          <w:noProof/>
          <w:lang w:val="hy-AM"/>
        </w:rPr>
        <w:t>ապրիլի</w:t>
      </w:r>
      <w:r w:rsidR="00520941">
        <w:rPr>
          <w:rFonts w:ascii="GHEA Grapalat" w:hAnsi="GHEA Grapalat"/>
          <w:noProof/>
          <w:lang w:val="hy-AM"/>
        </w:rPr>
        <w:t xml:space="preserve"> </w:t>
      </w:r>
      <w:r w:rsidR="007C1862">
        <w:rPr>
          <w:rFonts w:ascii="GHEA Grapalat" w:hAnsi="GHEA Grapalat"/>
          <w:noProof/>
          <w:lang w:val="hy-AM"/>
        </w:rPr>
        <w:t>12</w:t>
      </w:r>
      <w:r w:rsidRPr="005D20F8">
        <w:rPr>
          <w:rFonts w:ascii="GHEA Grapalat" w:hAnsi="GHEA Grapalat"/>
          <w:noProof/>
          <w:lang w:val="hy-AM"/>
        </w:rPr>
        <w:t>-ի</w:t>
      </w:r>
    </w:p>
    <w:p w14:paraId="5E5AC0E9" w14:textId="02C51397" w:rsidR="0017723D" w:rsidRPr="00BB1C3A" w:rsidRDefault="0017723D" w:rsidP="0017723D">
      <w:pPr>
        <w:pStyle w:val="CommentText"/>
        <w:spacing w:after="0" w:line="276" w:lineRule="auto"/>
        <w:contextualSpacing/>
        <w:jc w:val="right"/>
        <w:rPr>
          <w:rFonts w:ascii="GHEA Grapalat" w:hAnsi="GHEA Grapalat"/>
          <w:noProof/>
          <w:sz w:val="24"/>
          <w:szCs w:val="24"/>
          <w:lang w:val="hy-AM"/>
        </w:rPr>
      </w:pPr>
      <w:r w:rsidRPr="005D20F8">
        <w:rPr>
          <w:rFonts w:ascii="GHEA Grapalat" w:hAnsi="GHEA Grapalat"/>
          <w:noProof/>
          <w:lang w:val="hy-AM"/>
        </w:rPr>
        <w:t xml:space="preserve">N </w:t>
      </w:r>
      <w:r w:rsidR="007C1862">
        <w:rPr>
          <w:rFonts w:ascii="GHEA Grapalat" w:hAnsi="GHEA Grapalat"/>
          <w:noProof/>
          <w:lang w:val="hy-AM"/>
        </w:rPr>
        <w:t>1025</w:t>
      </w:r>
      <w:r w:rsidRPr="005D20F8">
        <w:rPr>
          <w:rFonts w:ascii="GHEA Grapalat" w:hAnsi="GHEA Grapalat"/>
          <w:noProof/>
          <w:lang w:val="hy-AM"/>
        </w:rPr>
        <w:t>-Լ հրամանի</w:t>
      </w:r>
    </w:p>
    <w:p w14:paraId="5AA7969D" w14:textId="77777777" w:rsidR="0017723D" w:rsidRPr="00BB1C3A" w:rsidRDefault="0017723D" w:rsidP="0017723D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hy-AM"/>
        </w:rPr>
      </w:pPr>
    </w:p>
    <w:p w14:paraId="6A49FB6B" w14:textId="77777777" w:rsidR="0017723D" w:rsidRPr="00A73BA5" w:rsidRDefault="0017723D" w:rsidP="0017723D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hy-AM"/>
        </w:rPr>
      </w:pPr>
      <w:r w:rsidRPr="00A73BA5"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hy-AM"/>
        </w:rPr>
        <w:t>ԿԱՐԳ</w:t>
      </w:r>
    </w:p>
    <w:p w14:paraId="333F37C6" w14:textId="41A0DB66" w:rsidR="0017723D" w:rsidRPr="00BB1C3A" w:rsidRDefault="0017723D" w:rsidP="0017723D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hy-AM"/>
        </w:rPr>
      </w:pPr>
      <w:r w:rsidRPr="00A73BA5"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hy-AM"/>
        </w:rPr>
        <w:t>«</w:t>
      </w:r>
      <w:r w:rsidR="00831E29"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hy-AM"/>
        </w:rPr>
        <w:t>ԲՈՒՍԱԲՈՒԾՈՒԹՅԱՆ ԱՋԱԿՑՈՒԹՅԱՆ</w:t>
      </w:r>
      <w:r w:rsidRPr="00A73BA5"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hy-AM"/>
        </w:rPr>
        <w:t xml:space="preserve">» ԾՐԱԳՐԻ </w:t>
      </w:r>
      <w:r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hy-AM"/>
        </w:rPr>
        <w:t>ՄՈՆԻԹՈՐԻՆԳԻ</w:t>
      </w:r>
      <w:r w:rsidR="00337A6A"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hy-AM"/>
        </w:rPr>
        <w:t xml:space="preserve"> ԻՐԱԿԱՆԱՑՄԱՆ</w:t>
      </w:r>
    </w:p>
    <w:p w14:paraId="1B4B8318" w14:textId="77777777" w:rsidR="0017723D" w:rsidRPr="00BB1C3A" w:rsidRDefault="0017723D" w:rsidP="0017723D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hy-AM"/>
        </w:rPr>
      </w:pPr>
    </w:p>
    <w:p w14:paraId="6C6D4C68" w14:textId="261E76B4" w:rsidR="00BA4445" w:rsidRPr="00BA4445" w:rsidRDefault="0017723D" w:rsidP="00BA4445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</w:pPr>
      <w:r w:rsidRPr="003C49D0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Սույն կարգով կանոնակարգվում է ՀՀ կառավարության 202</w:t>
      </w:r>
      <w:r w:rsidR="00831E29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4</w:t>
      </w:r>
      <w:r w:rsidRPr="003C49D0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 թվականի </w:t>
      </w:r>
      <w:r w:rsidR="00831E29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մարտի 14</w:t>
      </w:r>
      <w:r w:rsidRPr="003C49D0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-ի N </w:t>
      </w:r>
      <w:r w:rsidR="00831E29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384</w:t>
      </w:r>
      <w:r w:rsidRPr="003C49D0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-Լ որոշմամբ հաստատված </w:t>
      </w:r>
      <w:bookmarkStart w:id="0" w:name="_Hlk137149171"/>
      <w:r w:rsidRPr="003C49D0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«</w:t>
      </w:r>
      <w:r w:rsidR="00831E29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/>
        </w:rPr>
        <w:t>Բուսաբուծության աջակցության</w:t>
      </w:r>
      <w:r w:rsidRPr="003C49D0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» </w:t>
      </w:r>
      <w:bookmarkEnd w:id="0"/>
      <w:r w:rsidRPr="003C49D0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ծրագրի (այսուհետ` Ծրագիր) </w:t>
      </w:r>
      <w:r w:rsidR="006A573E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19</w:t>
      </w:r>
      <w:r w:rsidRPr="003C49D0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-րդ</w:t>
      </w:r>
      <w:r w:rsidR="009759E6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 և 21-րդ</w:t>
      </w:r>
      <w:r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 </w:t>
      </w:r>
      <w:r w:rsidRPr="003C49D0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կետ</w:t>
      </w:r>
      <w:r w:rsidR="009759E6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եր</w:t>
      </w:r>
      <w:r w:rsidRPr="003C49D0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ի  իրականացումը։</w:t>
      </w:r>
    </w:p>
    <w:p w14:paraId="14FA871E" w14:textId="42DC1309" w:rsidR="00831E29" w:rsidRDefault="00831E29" w:rsidP="0017723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Ծրագրի շրջանակներում </w:t>
      </w:r>
      <w:r w:rsidR="009759E6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համատարած </w:t>
      </w:r>
      <w:r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մոնիթորինգն իրականացվում է համապատասխան </w:t>
      </w:r>
      <w:r w:rsidR="00E21351" w:rsidRPr="00E21351">
        <w:rPr>
          <w:rFonts w:ascii="GHEA Grapalat" w:hAnsi="GHEA Grapalat"/>
          <w:sz w:val="24"/>
          <w:szCs w:val="24"/>
          <w:lang w:val="hy-AM"/>
        </w:rPr>
        <w:t>համայնքի ղեկավարի հրամանով ստեղծված հանձնաժողովի</w:t>
      </w:r>
      <w:r w:rsidR="00E21351" w:rsidRPr="00E21351">
        <w:rPr>
          <w:lang w:val="hy-AM"/>
        </w:rPr>
        <w:t xml:space="preserve"> </w:t>
      </w:r>
      <w:r w:rsidR="00B7091F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(այսուհետ՝ Հանձնաժողով)</w:t>
      </w:r>
      <w:r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 </w:t>
      </w:r>
      <w:r w:rsidR="009759E6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կողմից, իսկ </w:t>
      </w:r>
      <w:r w:rsidR="009759E6" w:rsidRPr="009759E6">
        <w:rPr>
          <w:rFonts w:ascii="GHEA Grapalat" w:hAnsi="GHEA Grapalat"/>
          <w:sz w:val="24"/>
          <w:szCs w:val="24"/>
          <w:lang w:val="hy-AM"/>
        </w:rPr>
        <w:t>ընտրանքային մոնիթորինգը մարզի շահառուների թվի առնվազն 20 % ընդգրկելիությամբ՝</w:t>
      </w:r>
      <w:r w:rsidR="009759E6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 </w:t>
      </w:r>
      <w:r w:rsidR="008D12C9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համապատասխան մարզպետի աշխատակազմի և Հայաստանի Հանրապետության էկոնոմիկայի նախարարության</w:t>
      </w:r>
      <w:r w:rsidR="00E21351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 (այսուհետ՝ Նախարարություն)</w:t>
      </w:r>
      <w:r w:rsidR="008D12C9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 ներկայացուցչի միջոցով՝ </w:t>
      </w:r>
      <w:r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մինչև տվյալ մշակաբույսի բերքահավաքը։</w:t>
      </w:r>
    </w:p>
    <w:p w14:paraId="52AF2491" w14:textId="61C379C8" w:rsidR="00337A6A" w:rsidRDefault="004B5B7B" w:rsidP="0017723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Pr="00AA0CBE">
        <w:rPr>
          <w:rFonts w:ascii="GHEA Grapalat" w:hAnsi="GHEA Grapalat"/>
          <w:sz w:val="24"/>
          <w:szCs w:val="24"/>
          <w:lang w:val="hy-AM"/>
        </w:rPr>
        <w:t>ախարարության ներկայացուցչի</w:t>
      </w:r>
      <w:r>
        <w:rPr>
          <w:rFonts w:ascii="GHEA Grapalat" w:hAnsi="GHEA Grapalat"/>
          <w:sz w:val="24"/>
          <w:szCs w:val="24"/>
          <w:lang w:val="hy-AM"/>
        </w:rPr>
        <w:t xml:space="preserve"> մասնակցությամբ մ</w:t>
      </w:r>
      <w:r w:rsidR="00AA0CBE" w:rsidRPr="00AA0CBE">
        <w:rPr>
          <w:rFonts w:ascii="GHEA Grapalat" w:hAnsi="GHEA Grapalat"/>
          <w:sz w:val="24"/>
          <w:szCs w:val="24"/>
          <w:lang w:val="hy-AM"/>
        </w:rPr>
        <w:t>արզպետի աշխատակազմ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AA0CBE" w:rsidRPr="00AA0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337A6A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կողմից ընտրանքային մոնիթորինգի 20 %-ում ներառվող շահառուների ընտրությունն իրականացվում է </w:t>
      </w:r>
      <w:r w:rsidR="00E21351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Ն</w:t>
      </w:r>
      <w:r w:rsidR="00337A6A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ախարարության միջոցով։ </w:t>
      </w:r>
    </w:p>
    <w:p w14:paraId="1FDD5DBC" w14:textId="0E559318" w:rsidR="0017723D" w:rsidRPr="00B63DE1" w:rsidRDefault="000549FA" w:rsidP="0017723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Համատարած և ընտրանքային մ</w:t>
      </w:r>
      <w:r w:rsidR="0017723D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ոնիթորինգ</w:t>
      </w:r>
      <w:r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ներ</w:t>
      </w:r>
      <w:r w:rsidR="00E87AFF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ն</w:t>
      </w:r>
      <w:r w:rsidR="0017723D" w:rsidRPr="00BB1C3A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 իրականացվում </w:t>
      </w:r>
      <w:r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են</w:t>
      </w:r>
      <w:r w:rsidR="0017723D" w:rsidRPr="00BB1C3A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 </w:t>
      </w:r>
      <w:r w:rsidR="00831E29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ցանքատարածություններ</w:t>
      </w:r>
      <w:r w:rsidR="0017723D" w:rsidRPr="00BB1C3A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 այցելությունների, փաստաթղթերի և </w:t>
      </w:r>
      <w:r w:rsidR="00375D51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ցանքատարածության</w:t>
      </w:r>
      <w:r w:rsidR="0017723D" w:rsidRPr="00BB1C3A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 ուսումնասիրության </w:t>
      </w:r>
      <w:r w:rsidR="0017723D" w:rsidRPr="00BB1C3A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>միջոցով</w:t>
      </w:r>
      <w:r w:rsidR="00161B83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 xml:space="preserve"> </w:t>
      </w:r>
      <w:r w:rsidR="00161B83" w:rsidRPr="008B2BED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>և</w:t>
      </w:r>
      <w:r w:rsidR="00161B83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 xml:space="preserve"> շահառուի կողմից կատարված ցանքատարածություն</w:t>
      </w:r>
      <w:r w:rsidR="00161B83" w:rsidRPr="008B2BED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 xml:space="preserve"> այցելության վերաբերյալ վերջինիս հետ</w:t>
      </w:r>
      <w:r w:rsidR="009759E6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 xml:space="preserve"> </w:t>
      </w:r>
      <w:r w:rsidR="00BA4445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>կապի միջոցներով</w:t>
      </w:r>
      <w:r w:rsidR="00161B83" w:rsidRPr="008B2BED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 xml:space="preserve"> նախապես</w:t>
      </w:r>
      <w:r w:rsidR="00161B83" w:rsidRPr="00BB1C3A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 xml:space="preserve"> պայմանավորվածությունից հետո։</w:t>
      </w:r>
    </w:p>
    <w:p w14:paraId="4F96C77B" w14:textId="764355B0" w:rsidR="00B63DE1" w:rsidRPr="00B63DE1" w:rsidRDefault="00B63DE1" w:rsidP="0017723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 xml:space="preserve">Շահառուի հետ ցանքատարածություն այցելության պայմանավորվածություն ձեռք </w:t>
      </w:r>
    </w:p>
    <w:p w14:paraId="3F7E7B5B" w14:textId="4B179D42" w:rsidR="00B63DE1" w:rsidRPr="00BB1C3A" w:rsidRDefault="00B63DE1" w:rsidP="00B63DE1">
      <w:pPr>
        <w:pStyle w:val="ListParagraph"/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 xml:space="preserve">բերելու անհնարինության </w:t>
      </w:r>
      <w:r w:rsidR="004A5E44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>պարագայում</w:t>
      </w:r>
      <w:r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 xml:space="preserve"> </w:t>
      </w:r>
      <w:r w:rsidR="00AA0CBE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>համատարած մոնիթորինգի դեպքում գր</w:t>
      </w:r>
      <w:r w:rsidR="000479DD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>ա</w:t>
      </w:r>
      <w:r w:rsidR="00AA0CBE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>վոր տեղեկացվում է համայ</w:t>
      </w:r>
      <w:r w:rsidR="000549FA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>ն</w:t>
      </w:r>
      <w:r w:rsidR="00AA0CBE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>քը, իսկ ընտրանքային մոնիթորինգի դեպքում՝ համապատասխան մարզպետի աշխատակազմը</w:t>
      </w:r>
      <w:r w:rsidR="004A5E44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>, որի արդյունքում փոխհատուցում չի տրամադրվում։</w:t>
      </w:r>
    </w:p>
    <w:p w14:paraId="10BBDC29" w14:textId="2F7E0447" w:rsidR="00E87AFF" w:rsidRPr="00E87AFF" w:rsidRDefault="000549FA" w:rsidP="0017723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Համատարած մո</w:t>
      </w:r>
      <w:r w:rsidR="00E87AFF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նիթորինգն իրականացվում է տվյալ մշակաբույսի բերքահավաքից առավելագույնը 2 ամիս առաջ փոխհատուցում ստանալու նպատակով շահառուի կողմից թղթային եղանակով համայնքի կամ բնակավայրի վարչական ղեկավարին Ծրագրի 17-րդ կետով սահմանված դիմում և կից փաստաթղ</w:t>
      </w:r>
      <w:r w:rsidR="000041C2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թ</w:t>
      </w:r>
      <w:r w:rsidR="00E87AFF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եր ներկայացնելուց հետո։</w:t>
      </w:r>
    </w:p>
    <w:p w14:paraId="34CFCF1E" w14:textId="1F7A12E9" w:rsidR="00E87AFF" w:rsidRPr="00E87AFF" w:rsidRDefault="00E87AFF" w:rsidP="0017723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lastRenderedPageBreak/>
        <w:t xml:space="preserve">Ծրագրի </w:t>
      </w:r>
      <w:r w:rsidR="008D12C9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9-րդ կետի 3-րդ ենթակետով սահմանված</w:t>
      </w:r>
      <w:r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ժամկետներում ըստ մարզերի և մշակաբույսերի տեսակների հավաստագրված սերմերով ցանք իրականացնելու դեպքերում և Ծրագ</w:t>
      </w:r>
      <w:r w:rsidR="00375D51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րի 13-րդ և 17-րդ կետերով</w:t>
      </w:r>
      <w:r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սահմանված փաստաթղթերի առկայության </w:t>
      </w:r>
      <w:r w:rsidR="00146D07" w:rsidRPr="00AF74B6">
        <w:rPr>
          <w:rFonts w:ascii="GHEA Grapalat" w:eastAsia="Times New Roman" w:hAnsi="GHEA Grapalat" w:cs="Times New Roman"/>
          <w:color w:val="191919"/>
          <w:sz w:val="24"/>
          <w:szCs w:val="24"/>
          <w:lang w:val="hy-AM"/>
        </w:rPr>
        <w:t>և դրանում առկա տեղեկատվության համապատասխանության</w:t>
      </w:r>
      <w:r w:rsidR="00146D07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պարագայում</w:t>
      </w:r>
      <w:r w:rsidR="000549FA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համատարած</w:t>
      </w:r>
      <w:r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</w:t>
      </w:r>
      <w:r w:rsidR="000549FA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և ընտրանքային </w:t>
      </w:r>
      <w:r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մոնիթորինգ</w:t>
      </w:r>
      <w:r w:rsidR="000549FA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ի արդյունքում տրվում է դրական եզրակացություն։</w:t>
      </w:r>
    </w:p>
    <w:p w14:paraId="6D6BB0E9" w14:textId="4F1D8F8F" w:rsidR="00E87AFF" w:rsidRPr="00337A6A" w:rsidRDefault="009759E6" w:rsidP="0017723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Համատարած մ</w:t>
      </w:r>
      <w:r w:rsidR="00E87AFF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ոնիթորինգի արդյունքում </w:t>
      </w:r>
      <w:r w:rsidR="00B7091F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կից լուսանկարներով </w:t>
      </w:r>
      <w:r w:rsidR="00E87AFF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կազմվում է արձանագրություն՝ համաձայն </w:t>
      </w:r>
      <w:r w:rsidR="004A5E44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Ձ</w:t>
      </w:r>
      <w:r w:rsidR="00E87AFF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ևի, որը ստորագրվում է </w:t>
      </w:r>
      <w:r w:rsidR="000041C2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Հ</w:t>
      </w:r>
      <w:r w:rsidR="00E87AFF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անձնաժողովի անդամների </w:t>
      </w:r>
      <w:r w:rsidR="00161B83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և շահառուի </w:t>
      </w:r>
      <w:r w:rsidR="00E87AFF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կողմից։</w:t>
      </w:r>
    </w:p>
    <w:p w14:paraId="791B4454" w14:textId="37149448" w:rsidR="00337A6A" w:rsidRPr="00337A6A" w:rsidRDefault="00337A6A" w:rsidP="008A5856">
      <w:pPr>
        <w:pStyle w:val="ListParagraph"/>
        <w:numPr>
          <w:ilvl w:val="0"/>
          <w:numId w:val="1"/>
        </w:numPr>
        <w:jc w:val="both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</w:pPr>
      <w:r w:rsidRPr="00337A6A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Լուսանկարներում հստակ պետք է երևա ամբողջ ցանքատարածությունը, ցանքատարածությունում բույսերը և դրանց վիճակը։</w:t>
      </w:r>
    </w:p>
    <w:p w14:paraId="5D406E32" w14:textId="36BB4696" w:rsidR="009759E6" w:rsidRPr="00B63DE1" w:rsidRDefault="009759E6" w:rsidP="0017723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Ընտրանքային մոնիթորինգի դեպքում կից լուսանկարներով կազմված արձանագրությունը՝ համաձայն </w:t>
      </w:r>
      <w:r w:rsidR="004A5E44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Ձևի</w:t>
      </w:r>
      <w:r w:rsidRPr="009759E6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ստորագրվում է մարզպետի աշխատակազմի և </w:t>
      </w:r>
      <w:r w:rsidR="00E21351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Ն</w:t>
      </w:r>
      <w:r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ախարարության ներկայացուցչի և շահառուի կողմից</w:t>
      </w:r>
      <w:r w:rsidR="00B63DE1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։</w:t>
      </w:r>
    </w:p>
    <w:p w14:paraId="1400E991" w14:textId="57768096" w:rsidR="00B63DE1" w:rsidRPr="00BA4445" w:rsidRDefault="00B63DE1" w:rsidP="0017723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Ընտրանքային մոնիթորինգի իրականացման ընթացքում նախարարության ներկայացուցիչ է հանդիսանում </w:t>
      </w:r>
      <w:r w:rsidRPr="00BB1C3A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  <w:t>«Գյուղատնտեսական ծառայությունների կենտրոն» պետական ոչ առևտրային կազմակերպության համապատասխան ստորաբաժանումը։</w:t>
      </w:r>
    </w:p>
    <w:p w14:paraId="5EEE8111" w14:textId="7F48BF9D" w:rsidR="009759E6" w:rsidRDefault="009759E6" w:rsidP="009759E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Հանձնաժողովը ծրագրի շրջանակներում կատարված ցանքատարածություններում </w:t>
      </w:r>
      <w:r w:rsidR="000549FA">
        <w:rPr>
          <w:rFonts w:ascii="GHEA Grapalat" w:hAnsi="GHEA Grapalat"/>
          <w:sz w:val="24"/>
          <w:szCs w:val="24"/>
          <w:lang w:val="hy-AM"/>
        </w:rPr>
        <w:t xml:space="preserve">համատարած </w:t>
      </w:r>
      <w:r>
        <w:rPr>
          <w:rFonts w:ascii="GHEA Grapalat" w:hAnsi="GHEA Grapalat"/>
          <w:sz w:val="24"/>
          <w:szCs w:val="24"/>
          <w:lang w:val="hy-AM"/>
        </w:rPr>
        <w:t>մոնիթորինգն իրականացնելուց հետո 15 աշխատանքային օրվա ընթացքում ամփոփում է իր կողմից իրականացված մոնիթորինգի արդյունքներ</w:t>
      </w:r>
      <w:r w:rsidR="002F114E">
        <w:rPr>
          <w:rFonts w:ascii="GHEA Grapalat" w:hAnsi="GHEA Grapalat"/>
          <w:sz w:val="24"/>
          <w:szCs w:val="24"/>
          <w:lang w:val="hy-AM"/>
        </w:rPr>
        <w:t>ին</w:t>
      </w:r>
      <w:r w:rsidR="007D2CC1">
        <w:rPr>
          <w:rFonts w:ascii="GHEA Grapalat" w:hAnsi="GHEA Grapalat"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lang w:val="hy-AM"/>
        </w:rPr>
        <w:t xml:space="preserve">  մոնիթորինգի դրական եզրակացությա</w:t>
      </w:r>
      <w:r w:rsidR="007D2CC1">
        <w:rPr>
          <w:rFonts w:ascii="GHEA Grapalat" w:hAnsi="GHEA Grapalat"/>
          <w:sz w:val="24"/>
          <w:szCs w:val="24"/>
          <w:lang w:val="hy-AM"/>
        </w:rPr>
        <w:t xml:space="preserve">նը կցելով </w:t>
      </w:r>
      <w:r w:rsidR="007D2CC1" w:rsidRPr="007D2CC1">
        <w:rPr>
          <w:rFonts w:ascii="GHEA Grapalat" w:hAnsi="GHEA Grapalat"/>
          <w:sz w:val="24"/>
          <w:szCs w:val="24"/>
          <w:lang w:val="hy-AM"/>
        </w:rPr>
        <w:t>անշարժ գույքի (գյուղատնտեսական նշանակության հողի) նկատմամբ սեփականության իրավունքը հավաստող պետական գրանցման վկայականի պատճեն</w:t>
      </w:r>
      <w:r w:rsidR="007D2CC1">
        <w:rPr>
          <w:rFonts w:ascii="GHEA Grapalat" w:hAnsi="GHEA Grapalat"/>
          <w:sz w:val="24"/>
          <w:szCs w:val="24"/>
          <w:lang w:val="hy-AM"/>
        </w:rPr>
        <w:t>ը</w:t>
      </w:r>
      <w:r w:rsidR="007D2CC1" w:rsidRPr="007D2CC1">
        <w:rPr>
          <w:rFonts w:ascii="GHEA Grapalat" w:hAnsi="GHEA Grapalat"/>
          <w:sz w:val="24"/>
          <w:szCs w:val="24"/>
          <w:lang w:val="hy-AM"/>
        </w:rPr>
        <w:t>, պայմանագրային հիմունքներով առնվազն մեկ տարի ժամկետով վարձակալության (ենթավարձակալության) կամ օգտագործման դեպքում՝ նաև նոտարական կարգով վավերացված այդ պայմանագրի պատճեն</w:t>
      </w:r>
      <w:r w:rsidR="007D2CC1">
        <w:rPr>
          <w:rFonts w:ascii="GHEA Grapalat" w:hAnsi="GHEA Grapalat"/>
          <w:sz w:val="24"/>
          <w:szCs w:val="24"/>
          <w:lang w:val="hy-AM"/>
        </w:rPr>
        <w:t>ը</w:t>
      </w:r>
      <w:r w:rsidR="007D2CC1" w:rsidRPr="007D2CC1">
        <w:rPr>
          <w:rFonts w:ascii="GHEA Grapalat" w:hAnsi="GHEA Grapalat"/>
          <w:sz w:val="24"/>
          <w:szCs w:val="24"/>
          <w:lang w:val="hy-AM"/>
        </w:rPr>
        <w:t>, կամ համայնքի կամ բնակավայրի վարչական ղեկավարի կողմից տրված տեղեկանք</w:t>
      </w:r>
      <w:r w:rsidR="007D2CC1">
        <w:rPr>
          <w:rFonts w:ascii="GHEA Grapalat" w:hAnsi="GHEA Grapalat"/>
          <w:sz w:val="24"/>
          <w:szCs w:val="24"/>
          <w:lang w:val="hy-AM"/>
        </w:rPr>
        <w:t>ը</w:t>
      </w:r>
      <w:r w:rsidR="007D2CC1" w:rsidRPr="007D2CC1">
        <w:rPr>
          <w:rFonts w:ascii="GHEA Grapalat" w:hAnsi="GHEA Grapalat"/>
          <w:sz w:val="24"/>
          <w:szCs w:val="24"/>
          <w:lang w:val="hy-AM"/>
        </w:rPr>
        <w:t>՝</w:t>
      </w:r>
      <w:r w:rsidR="004071A7">
        <w:rPr>
          <w:rFonts w:ascii="GHEA Grapalat" w:hAnsi="GHEA Grapalat"/>
          <w:sz w:val="24"/>
          <w:szCs w:val="24"/>
          <w:lang w:val="hy-AM"/>
        </w:rPr>
        <w:t xml:space="preserve"> </w:t>
      </w:r>
      <w:r w:rsidR="007D2CC1" w:rsidRPr="007D2CC1">
        <w:rPr>
          <w:rFonts w:ascii="GHEA Grapalat" w:hAnsi="GHEA Grapalat"/>
          <w:sz w:val="24"/>
          <w:szCs w:val="24"/>
          <w:lang w:val="hy-AM"/>
        </w:rPr>
        <w:t>գյուղատնտեսական նշանակության հողը շահառուի կողմից փաստացի օգտագործվելու վերաբերյալ (տեղեկանքում պարտադիր նշվում է շահառուի կողմից փաստացի օգտագործվող հողամասի կադաստրային ծածկագիրը)</w:t>
      </w:r>
      <w:r w:rsidR="007D2CC1" w:rsidRPr="007D2CC1">
        <w:rPr>
          <w:rFonts w:ascii="GHEA Grapalat" w:hAnsi="GHEA Grapalat" w:cstheme="minorHAnsi"/>
          <w:sz w:val="24"/>
          <w:szCs w:val="24"/>
          <w:lang w:val="hy-AM"/>
        </w:rPr>
        <w:t>)</w:t>
      </w:r>
      <w:r w:rsidR="007D2CC1">
        <w:rPr>
          <w:rFonts w:cstheme="minorHAnsi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շահառուների վերաբերյալ տեղեկատվությունը ներկայացնում է </w:t>
      </w:r>
      <w:r w:rsidR="00E21351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ախարարություն՝ նախարարության կողմից մշակված ու հաստատված համայնքին և մարզպետի աշխատակազմին տրամադրված ձևաչափով։</w:t>
      </w:r>
    </w:p>
    <w:p w14:paraId="7EDA57B1" w14:textId="2ABA6D14" w:rsidR="009759E6" w:rsidRDefault="009759E6" w:rsidP="009759E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Մարզպետի աշխատակազմը </w:t>
      </w:r>
      <w:r w:rsidR="000549FA">
        <w:rPr>
          <w:rFonts w:ascii="GHEA Grapalat" w:hAnsi="GHEA Grapalat"/>
          <w:sz w:val="24"/>
          <w:szCs w:val="24"/>
          <w:lang w:val="hy-AM"/>
        </w:rPr>
        <w:t xml:space="preserve">ընտրանքային </w:t>
      </w:r>
      <w:r>
        <w:rPr>
          <w:rFonts w:ascii="GHEA Grapalat" w:hAnsi="GHEA Grapalat"/>
          <w:sz w:val="24"/>
          <w:szCs w:val="24"/>
          <w:lang w:val="hy-AM"/>
        </w:rPr>
        <w:t xml:space="preserve">մոնիթորինգից հետո առավելագույնը 1 ամսվա ընթացքում ամփոփում է իր կողմից իրականացված ընտրանքային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մոնիթորինգի արդյունքները և ներկայացնում է </w:t>
      </w:r>
      <w:r w:rsidR="00E21351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ախարարություն՝ սույն կարգի 6-րդ կետով սահմանված </w:t>
      </w:r>
      <w:r w:rsidR="004A5E44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Ձևի</w:t>
      </w:r>
      <w:r>
        <w:rPr>
          <w:rFonts w:ascii="GHEA Grapalat" w:hAnsi="GHEA Grapalat"/>
          <w:sz w:val="24"/>
          <w:szCs w:val="24"/>
          <w:lang w:val="hy-AM"/>
        </w:rPr>
        <w:t xml:space="preserve"> համաձայն։</w:t>
      </w:r>
    </w:p>
    <w:p w14:paraId="5963554E" w14:textId="26930599" w:rsidR="001A00B2" w:rsidRPr="0017723D" w:rsidRDefault="001A00B2" w:rsidP="00375D51">
      <w:pPr>
        <w:pStyle w:val="ListParagraph"/>
        <w:shd w:val="clear" w:color="auto" w:fill="FFFFFF"/>
        <w:spacing w:after="0" w:line="276" w:lineRule="auto"/>
        <w:jc w:val="both"/>
        <w:rPr>
          <w:lang w:val="hy-AM"/>
        </w:rPr>
      </w:pPr>
    </w:p>
    <w:sectPr w:rsidR="001A00B2" w:rsidRPr="0017723D" w:rsidSect="00275B27">
      <w:footerReference w:type="default" r:id="rId7"/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9F93E" w14:textId="77777777" w:rsidR="00275B27" w:rsidRDefault="00275B27">
      <w:pPr>
        <w:spacing w:after="0" w:line="240" w:lineRule="auto"/>
      </w:pPr>
      <w:r>
        <w:separator/>
      </w:r>
    </w:p>
  </w:endnote>
  <w:endnote w:type="continuationSeparator" w:id="0">
    <w:p w14:paraId="09DD209B" w14:textId="77777777" w:rsidR="00275B27" w:rsidRDefault="0027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4102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3B474" w14:textId="77777777" w:rsidR="00E31564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6ED0AF" w14:textId="77777777" w:rsidR="00E31564" w:rsidRDefault="00E3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E436F" w14:textId="77777777" w:rsidR="00275B27" w:rsidRDefault="00275B27">
      <w:pPr>
        <w:spacing w:after="0" w:line="240" w:lineRule="auto"/>
      </w:pPr>
      <w:r>
        <w:separator/>
      </w:r>
    </w:p>
  </w:footnote>
  <w:footnote w:type="continuationSeparator" w:id="0">
    <w:p w14:paraId="3870EB3F" w14:textId="77777777" w:rsidR="00275B27" w:rsidRDefault="0027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21CC4"/>
    <w:multiLevelType w:val="multilevel"/>
    <w:tmpl w:val="7E829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Sylfaen" w:hint="default"/>
      </w:rPr>
    </w:lvl>
  </w:abstractNum>
  <w:num w:numId="1" w16cid:durableId="1272709181">
    <w:abstractNumId w:val="0"/>
  </w:num>
  <w:num w:numId="2" w16cid:durableId="1399674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43"/>
    <w:rsid w:val="00002201"/>
    <w:rsid w:val="000041C2"/>
    <w:rsid w:val="00040685"/>
    <w:rsid w:val="000479DD"/>
    <w:rsid w:val="000549FA"/>
    <w:rsid w:val="00077225"/>
    <w:rsid w:val="00077381"/>
    <w:rsid w:val="00117B22"/>
    <w:rsid w:val="00146D07"/>
    <w:rsid w:val="00161B83"/>
    <w:rsid w:val="0017723D"/>
    <w:rsid w:val="001A00B2"/>
    <w:rsid w:val="001C7A57"/>
    <w:rsid w:val="001E5B63"/>
    <w:rsid w:val="00230AB7"/>
    <w:rsid w:val="00244E63"/>
    <w:rsid w:val="00273555"/>
    <w:rsid w:val="00275B27"/>
    <w:rsid w:val="002F114E"/>
    <w:rsid w:val="003061B6"/>
    <w:rsid w:val="00337A6A"/>
    <w:rsid w:val="00375D51"/>
    <w:rsid w:val="004071A7"/>
    <w:rsid w:val="004644AA"/>
    <w:rsid w:val="004A5E44"/>
    <w:rsid w:val="004B5B7B"/>
    <w:rsid w:val="00520941"/>
    <w:rsid w:val="00563E6E"/>
    <w:rsid w:val="005D20F8"/>
    <w:rsid w:val="0063057A"/>
    <w:rsid w:val="006A573E"/>
    <w:rsid w:val="007C1862"/>
    <w:rsid w:val="007D2CC1"/>
    <w:rsid w:val="008101AC"/>
    <w:rsid w:val="00821B57"/>
    <w:rsid w:val="008278E9"/>
    <w:rsid w:val="00831E29"/>
    <w:rsid w:val="008502CD"/>
    <w:rsid w:val="00896F1B"/>
    <w:rsid w:val="008A5856"/>
    <w:rsid w:val="008D12C9"/>
    <w:rsid w:val="009759E6"/>
    <w:rsid w:val="009B4A49"/>
    <w:rsid w:val="009F1CD6"/>
    <w:rsid w:val="00AA0CBE"/>
    <w:rsid w:val="00B63DE1"/>
    <w:rsid w:val="00B7091F"/>
    <w:rsid w:val="00B75A27"/>
    <w:rsid w:val="00BA4445"/>
    <w:rsid w:val="00CB0943"/>
    <w:rsid w:val="00D34BE7"/>
    <w:rsid w:val="00E21351"/>
    <w:rsid w:val="00E25DBD"/>
    <w:rsid w:val="00E31564"/>
    <w:rsid w:val="00E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2F4F"/>
  <w15:chartTrackingRefBased/>
  <w15:docId w15:val="{455DA73F-EEC7-4138-AA34-1515B530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3D"/>
    <w:pPr>
      <w:spacing w:after="160" w:line="259" w:lineRule="auto"/>
      <w:jc w:val="left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3D"/>
    <w:rPr>
      <w:kern w:val="0"/>
      <w:lang w:val="en-US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23D"/>
    <w:rPr>
      <w:kern w:val="0"/>
      <w:sz w:val="20"/>
      <w:szCs w:val="2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177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 R. Martirosyan</dc:creator>
  <cp:keywords/>
  <dc:description/>
  <cp:lastModifiedBy>Marine L. Vardanyan</cp:lastModifiedBy>
  <cp:revision>3</cp:revision>
  <cp:lastPrinted>2024-04-03T10:20:00Z</cp:lastPrinted>
  <dcterms:created xsi:type="dcterms:W3CDTF">2024-04-12T06:37:00Z</dcterms:created>
  <dcterms:modified xsi:type="dcterms:W3CDTF">2024-04-12T07:04:00Z</dcterms:modified>
</cp:coreProperties>
</file>